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FC34C" w14:textId="19405048" w:rsidR="00435313" w:rsidRDefault="001A0C5B">
      <w:pPr>
        <w:spacing w:before="120" w:after="120"/>
        <w:jc w:val="center"/>
        <w:rPr>
          <w:b/>
          <w:sz w:val="32"/>
          <w:szCs w:val="32"/>
        </w:rPr>
      </w:pPr>
      <w:r w:rsidRPr="001A0C5B">
        <w:rPr>
          <w:b/>
          <w:bCs/>
          <w:sz w:val="32"/>
          <w:szCs w:val="32"/>
        </w:rPr>
        <w:t>Social Health in the Digital Age: Opportunities and Challenges</w:t>
      </w:r>
    </w:p>
    <w:p w14:paraId="0D544275" w14:textId="1DF52C99" w:rsidR="00435313" w:rsidRPr="00887C0E" w:rsidRDefault="001A0C5B">
      <w:pPr>
        <w:spacing w:before="120" w:after="120"/>
        <w:jc w:val="center"/>
        <w:rPr>
          <w:sz w:val="24"/>
          <w:szCs w:val="24"/>
          <w:vertAlign w:val="superscript"/>
        </w:rPr>
      </w:pPr>
      <w:proofErr w:type="spellStart"/>
      <w:r w:rsidRPr="001A0C5B">
        <w:rPr>
          <w:sz w:val="24"/>
          <w:szCs w:val="24"/>
        </w:rPr>
        <w:t>Edita</w:t>
      </w:r>
      <w:proofErr w:type="spellEnd"/>
      <w:r w:rsidRPr="001A0C5B">
        <w:rPr>
          <w:sz w:val="24"/>
          <w:szCs w:val="24"/>
        </w:rPr>
        <w:t xml:space="preserve"> Špokaitė</w:t>
      </w:r>
      <w:r w:rsidR="00887C0E">
        <w:rPr>
          <w:sz w:val="24"/>
          <w:szCs w:val="24"/>
          <w:vertAlign w:val="superscript"/>
        </w:rPr>
        <w:t>1</w:t>
      </w:r>
    </w:p>
    <w:p w14:paraId="1733E5FB" w14:textId="3588A8F8" w:rsidR="001A0C5B" w:rsidRPr="001A0C5B" w:rsidRDefault="00000000" w:rsidP="001A0C5B">
      <w:pPr>
        <w:spacing w:before="120" w:after="120"/>
        <w:jc w:val="center"/>
        <w:rPr>
          <w:sz w:val="24"/>
          <w:szCs w:val="24"/>
        </w:rPr>
      </w:pPr>
      <w:r>
        <w:rPr>
          <w:sz w:val="24"/>
          <w:szCs w:val="24"/>
          <w:vertAlign w:val="superscript"/>
        </w:rPr>
        <w:t>1</w:t>
      </w:r>
      <w:r w:rsidR="001A0C5B" w:rsidRPr="001A0C5B">
        <w:rPr>
          <w:sz w:val="24"/>
          <w:szCs w:val="24"/>
        </w:rPr>
        <w:t xml:space="preserve">Faculty of Human and Social Studies, </w:t>
      </w:r>
      <w:proofErr w:type="spellStart"/>
      <w:r w:rsidR="001A0C5B" w:rsidRPr="001A0C5B">
        <w:rPr>
          <w:sz w:val="24"/>
          <w:szCs w:val="24"/>
        </w:rPr>
        <w:t>Mykolas</w:t>
      </w:r>
      <w:proofErr w:type="spellEnd"/>
      <w:r w:rsidR="001A0C5B" w:rsidRPr="001A0C5B">
        <w:rPr>
          <w:sz w:val="24"/>
          <w:szCs w:val="24"/>
        </w:rPr>
        <w:t xml:space="preserve"> </w:t>
      </w:r>
      <w:proofErr w:type="spellStart"/>
      <w:r w:rsidR="001A0C5B" w:rsidRPr="001A0C5B">
        <w:rPr>
          <w:sz w:val="24"/>
          <w:szCs w:val="24"/>
        </w:rPr>
        <w:t>Romeris</w:t>
      </w:r>
      <w:proofErr w:type="spellEnd"/>
      <w:r w:rsidR="001A0C5B" w:rsidRPr="001A0C5B">
        <w:rPr>
          <w:sz w:val="24"/>
          <w:szCs w:val="24"/>
        </w:rPr>
        <w:t xml:space="preserve"> University, Lithuania</w:t>
      </w:r>
    </w:p>
    <w:p w14:paraId="5DA35AE7" w14:textId="3D0A86FB" w:rsidR="00435313" w:rsidRDefault="00000000" w:rsidP="001A0C5B">
      <w:pPr>
        <w:spacing w:before="120" w:after="120"/>
        <w:jc w:val="center"/>
        <w:rPr>
          <w:sz w:val="24"/>
          <w:szCs w:val="24"/>
          <w:vertAlign w:val="superscript"/>
        </w:rPr>
      </w:pPr>
      <w:r>
        <w:rPr>
          <w:b/>
          <w:sz w:val="24"/>
          <w:szCs w:val="24"/>
        </w:rPr>
        <w:t>Abstract</w:t>
      </w:r>
    </w:p>
    <w:p w14:paraId="5EE3403C" w14:textId="03AAF82D" w:rsidR="00435313" w:rsidRDefault="001A0C5B">
      <w:pPr>
        <w:spacing w:before="120" w:after="120"/>
        <w:jc w:val="both"/>
        <w:rPr>
          <w:sz w:val="24"/>
          <w:szCs w:val="24"/>
        </w:rPr>
      </w:pPr>
      <w:r w:rsidRPr="001A0C5B">
        <w:rPr>
          <w:sz w:val="24"/>
          <w:szCs w:val="24"/>
        </w:rPr>
        <w:t xml:space="preserve">This observe investigates the complex interplay among social media utilization, mental well-being, and bodily health amongst three hundred individuals, employing a move-sectional studies design. The player demographics (Table 1) display a balanced gender distribution, a median age of 28.5 years, and sundry educational backgrounds. Social media utilization patterns (Table 2) exhibit </w:t>
      </w:r>
      <w:proofErr w:type="spellStart"/>
      <w:r w:rsidRPr="001A0C5B">
        <w:rPr>
          <w:sz w:val="24"/>
          <w:szCs w:val="24"/>
        </w:rPr>
        <w:t>a</w:t>
      </w:r>
      <w:proofErr w:type="spellEnd"/>
      <w:r w:rsidRPr="001A0C5B">
        <w:rPr>
          <w:sz w:val="24"/>
          <w:szCs w:val="24"/>
        </w:rPr>
        <w:t xml:space="preserve"> essential presence on Facebook (sixty six.7%), followed with the aid of Instagram (</w:t>
      </w:r>
      <w:proofErr w:type="spellStart"/>
      <w:proofErr w:type="gramStart"/>
      <w:r w:rsidRPr="001A0C5B">
        <w:rPr>
          <w:sz w:val="24"/>
          <w:szCs w:val="24"/>
        </w:rPr>
        <w:t>forty.Zero</w:t>
      </w:r>
      <w:proofErr w:type="spellEnd"/>
      <w:proofErr w:type="gramEnd"/>
      <w:r w:rsidRPr="001A0C5B">
        <w:rPr>
          <w:sz w:val="24"/>
          <w:szCs w:val="24"/>
        </w:rPr>
        <w:t xml:space="preserve">%) and Twitter (26.7%). Mental well-being scores (Table three) showcase an average melancholy scale rating of 15.2 (SD = </w:t>
      </w:r>
      <w:proofErr w:type="spellStart"/>
      <w:proofErr w:type="gramStart"/>
      <w:r w:rsidRPr="001A0C5B">
        <w:rPr>
          <w:sz w:val="24"/>
          <w:szCs w:val="24"/>
        </w:rPr>
        <w:t>four.Three</w:t>
      </w:r>
      <w:proofErr w:type="spellEnd"/>
      <w:proofErr w:type="gramEnd"/>
      <w:r w:rsidRPr="001A0C5B">
        <w:rPr>
          <w:sz w:val="24"/>
          <w:szCs w:val="24"/>
        </w:rPr>
        <w:t xml:space="preserve">) and an anxiety scale rating of 12.Eight (SD = three.6), with scores ranging widely. Biometric measurements (Table four) underscore ordinary blood strain (120/80 mmHg), a diverse heart charge (mean = seventy-five, SD = eight), and an average BMI of 23.5 (SD = 2. Zero). These complete findings set the level for a nuanced exploration of the relationships among social media engagement, mental health, and bodily well-being. The diverse social media panorama shows a want for platform-unique analyses, thinking about capacity effects on intellectual nicely-being. Mental well-being scores, characterized by vast variability, spotlight the necessity for tailored interventions focused on subgroups with awesome needs. Biometric measurements make a contribution crucial insight into the contributors' bodily fitness, establishing a foundation for expertise the problematic connections among physiological nicely-being and intellectual fitness. The </w:t>
      </w:r>
      <w:proofErr w:type="spellStart"/>
      <w:r w:rsidRPr="001A0C5B">
        <w:rPr>
          <w:sz w:val="24"/>
          <w:szCs w:val="24"/>
        </w:rPr>
        <w:t>observe's</w:t>
      </w:r>
      <w:proofErr w:type="spellEnd"/>
      <w:r w:rsidRPr="001A0C5B">
        <w:rPr>
          <w:sz w:val="24"/>
          <w:szCs w:val="24"/>
        </w:rPr>
        <w:t xml:space="preserve"> holistic method, integrating demographic, social media usage, intellectual nicely-being, and biometric facts, allows for a nuanced understanding of the multifaceted dynamics within the sample. These findings make a contribution to the broader discourse at the effect of digital engagement on intellectual and physical fitness, providing insights that may inform centered interventions and strategies for selling usual properly-being in the digital age.</w:t>
      </w:r>
    </w:p>
    <w:p w14:paraId="4F24225A" w14:textId="388F91CB" w:rsidR="00435313" w:rsidRDefault="00000000">
      <w:pPr>
        <w:spacing w:before="120" w:after="120"/>
        <w:jc w:val="both"/>
        <w:rPr>
          <w:sz w:val="24"/>
          <w:szCs w:val="24"/>
        </w:rPr>
        <w:sectPr w:rsidR="00435313" w:rsidSect="00D8574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4"/>
          <w:cols w:space="720"/>
        </w:sectPr>
      </w:pPr>
      <w:r>
        <w:rPr>
          <w:b/>
          <w:sz w:val="24"/>
          <w:szCs w:val="24"/>
        </w:rPr>
        <w:t>Keywords:</w:t>
      </w:r>
      <w:r>
        <w:rPr>
          <w:sz w:val="24"/>
          <w:szCs w:val="24"/>
        </w:rPr>
        <w:t xml:space="preserve"> </w:t>
      </w:r>
      <w:r w:rsidR="001A0C5B" w:rsidRPr="001A0C5B">
        <w:rPr>
          <w:sz w:val="24"/>
          <w:szCs w:val="24"/>
        </w:rPr>
        <w:t xml:space="preserve">Digital Age, Mental Well-Being, Social Health </w:t>
      </w:r>
      <w:r>
        <w:rPr>
          <w:noProof/>
        </w:rPr>
        <mc:AlternateContent>
          <mc:Choice Requires="wps">
            <w:drawing>
              <wp:anchor distT="0" distB="0" distL="0" distR="0" simplePos="0" relativeHeight="251658240" behindDoc="1" locked="0" layoutInCell="1" hidden="0" allowOverlap="1" wp14:anchorId="3F09B9FD" wp14:editId="7330FC58">
                <wp:simplePos x="0" y="0"/>
                <wp:positionH relativeFrom="column">
                  <wp:posOffset>0</wp:posOffset>
                </wp:positionH>
                <wp:positionV relativeFrom="paragraph">
                  <wp:posOffset>215900</wp:posOffset>
                </wp:positionV>
                <wp:extent cx="3124200" cy="495300"/>
                <wp:effectExtent l="0" t="0" r="0" b="0"/>
                <wp:wrapNone/>
                <wp:docPr id="3" name="Rectangle 3"/>
                <wp:cNvGraphicFramePr/>
                <a:graphic xmlns:a="http://schemas.openxmlformats.org/drawingml/2006/main">
                  <a:graphicData uri="http://schemas.microsoft.com/office/word/2010/wordprocessingShape">
                    <wps:wsp>
                      <wps:cNvSpPr/>
                      <wps:spPr>
                        <a:xfrm>
                          <a:off x="3788663" y="3537113"/>
                          <a:ext cx="3114675" cy="485775"/>
                        </a:xfrm>
                        <a:prstGeom prst="rect">
                          <a:avLst/>
                        </a:prstGeom>
                        <a:solidFill>
                          <a:schemeClr val="lt1"/>
                        </a:solidFill>
                        <a:ln w="9525" cap="flat" cmpd="sng">
                          <a:solidFill>
                            <a:schemeClr val="lt1"/>
                          </a:solidFill>
                          <a:prstDash val="solid"/>
                          <a:miter lim="800000"/>
                          <a:headEnd type="none" w="sm" len="sm"/>
                          <a:tailEnd type="none" w="sm" len="sm"/>
                        </a:ln>
                      </wps:spPr>
                      <wps:txbx>
                        <w:txbxContent>
                          <w:p w14:paraId="4E2B9B01" w14:textId="3C9CDC81" w:rsidR="00435313" w:rsidRDefault="00000000">
                            <w:pPr>
                              <w:textDirection w:val="btLr"/>
                            </w:pPr>
                            <w:r>
                              <w:rPr>
                                <w:color w:val="000000"/>
                                <w:sz w:val="18"/>
                              </w:rPr>
                              <w:t xml:space="preserve">Received: May </w:t>
                            </w:r>
                            <w:r w:rsidR="00887C0E">
                              <w:rPr>
                                <w:color w:val="000000"/>
                                <w:sz w:val="18"/>
                              </w:rPr>
                              <w:t>12</w:t>
                            </w:r>
                            <w:r>
                              <w:rPr>
                                <w:color w:val="000000"/>
                                <w:sz w:val="18"/>
                              </w:rPr>
                              <w:t>, 202</w:t>
                            </w:r>
                            <w:r w:rsidR="00887C0E">
                              <w:rPr>
                                <w:color w:val="000000"/>
                                <w:sz w:val="18"/>
                              </w:rPr>
                              <w:t>3</w:t>
                            </w:r>
                            <w:r>
                              <w:rPr>
                                <w:color w:val="000000"/>
                                <w:sz w:val="18"/>
                              </w:rPr>
                              <w:br/>
                              <w:t xml:space="preserve">Revised: July </w:t>
                            </w:r>
                            <w:r w:rsidR="00887C0E">
                              <w:rPr>
                                <w:color w:val="000000"/>
                                <w:sz w:val="18"/>
                              </w:rPr>
                              <w:t>10</w:t>
                            </w:r>
                            <w:r>
                              <w:rPr>
                                <w:color w:val="000000"/>
                                <w:sz w:val="18"/>
                              </w:rPr>
                              <w:t>, 202</w:t>
                            </w:r>
                            <w:r w:rsidR="00887C0E">
                              <w:rPr>
                                <w:color w:val="000000"/>
                                <w:sz w:val="18"/>
                              </w:rPr>
                              <w:t>3</w:t>
                            </w:r>
                          </w:p>
                          <w:p w14:paraId="79E65784" w14:textId="42AE5EF5" w:rsidR="00435313" w:rsidRDefault="00000000">
                            <w:pPr>
                              <w:textDirection w:val="btLr"/>
                            </w:pPr>
                            <w:r>
                              <w:rPr>
                                <w:color w:val="000000"/>
                                <w:sz w:val="18"/>
                              </w:rPr>
                              <w:t xml:space="preserve">Accepted: </w:t>
                            </w:r>
                            <w:r w:rsidR="00887C0E">
                              <w:rPr>
                                <w:color w:val="000000"/>
                                <w:sz w:val="18"/>
                              </w:rPr>
                              <w:t>August</w:t>
                            </w:r>
                            <w:r>
                              <w:rPr>
                                <w:color w:val="000000"/>
                                <w:sz w:val="18"/>
                              </w:rPr>
                              <w:t xml:space="preserve"> 25, 202</w:t>
                            </w:r>
                            <w:r w:rsidR="00887C0E">
                              <w:rPr>
                                <w:color w:val="000000"/>
                                <w:sz w:val="18"/>
                              </w:rPr>
                              <w:t>3</w:t>
                            </w:r>
                          </w:p>
                        </w:txbxContent>
                      </wps:txbx>
                      <wps:bodyPr spcFirstLastPara="1" wrap="square" lIns="91425" tIns="45700" rIns="91425" bIns="45700" anchor="t" anchorCtr="0">
                        <a:noAutofit/>
                      </wps:bodyPr>
                    </wps:wsp>
                  </a:graphicData>
                </a:graphic>
              </wp:anchor>
            </w:drawing>
          </mc:Choice>
          <mc:Fallback>
            <w:pict>
              <v:rect w14:anchorId="3F09B9FD" id="Rectangle 3" o:spid="_x0000_s1026" style="position:absolute;left:0;text-align:left;margin-left:0;margin-top:17pt;width:246pt;height:39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" fillcolor="white [3201]" strokecolor="white [3201]">
                <v:stroke startarrowwidth="narrow" startarrowlength="short" endarrowwidth="narrow" endarrowlength="short"/>
                <v:textbox inset="2.53958mm,1.2694mm,2.53958mm,1.2694mm">
                  <w:txbxContent>
                    <w:p w14:paraId="4E2B9B01" w14:textId="3C9CDC81" w:rsidR="00435313" w:rsidRDefault="00000000">
                      <w:pPr>
                        <w:textDirection w:val="btLr"/>
                      </w:pPr>
                      <w:r>
                        <w:rPr>
                          <w:color w:val="000000"/>
                          <w:sz w:val="18"/>
                        </w:rPr>
                        <w:t xml:space="preserve">Received: May </w:t>
                      </w:r>
                      <w:r w:rsidR="00887C0E">
                        <w:rPr>
                          <w:color w:val="000000"/>
                          <w:sz w:val="18"/>
                        </w:rPr>
                        <w:t>12</w:t>
                      </w:r>
                      <w:r>
                        <w:rPr>
                          <w:color w:val="000000"/>
                          <w:sz w:val="18"/>
                        </w:rPr>
                        <w:t>, 202</w:t>
                      </w:r>
                      <w:r w:rsidR="00887C0E">
                        <w:rPr>
                          <w:color w:val="000000"/>
                          <w:sz w:val="18"/>
                        </w:rPr>
                        <w:t>3</w:t>
                      </w:r>
                      <w:r>
                        <w:rPr>
                          <w:color w:val="000000"/>
                          <w:sz w:val="18"/>
                        </w:rPr>
                        <w:br/>
                        <w:t xml:space="preserve">Revised: July </w:t>
                      </w:r>
                      <w:r w:rsidR="00887C0E">
                        <w:rPr>
                          <w:color w:val="000000"/>
                          <w:sz w:val="18"/>
                        </w:rPr>
                        <w:t>10</w:t>
                      </w:r>
                      <w:r>
                        <w:rPr>
                          <w:color w:val="000000"/>
                          <w:sz w:val="18"/>
                        </w:rPr>
                        <w:t>, 202</w:t>
                      </w:r>
                      <w:r w:rsidR="00887C0E">
                        <w:rPr>
                          <w:color w:val="000000"/>
                          <w:sz w:val="18"/>
                        </w:rPr>
                        <w:t>3</w:t>
                      </w:r>
                    </w:p>
                    <w:p w14:paraId="79E65784" w14:textId="42AE5EF5" w:rsidR="00435313" w:rsidRDefault="00000000">
                      <w:pPr>
                        <w:textDirection w:val="btLr"/>
                      </w:pPr>
                      <w:r>
                        <w:rPr>
                          <w:color w:val="000000"/>
                          <w:sz w:val="18"/>
                        </w:rPr>
                        <w:t xml:space="preserve">Accepted: </w:t>
                      </w:r>
                      <w:r w:rsidR="00887C0E">
                        <w:rPr>
                          <w:color w:val="000000"/>
                          <w:sz w:val="18"/>
                        </w:rPr>
                        <w:t>August</w:t>
                      </w:r>
                      <w:r>
                        <w:rPr>
                          <w:color w:val="000000"/>
                          <w:sz w:val="18"/>
                        </w:rPr>
                        <w:t xml:space="preserve"> 25, 202</w:t>
                      </w:r>
                      <w:r w:rsidR="00887C0E">
                        <w:rPr>
                          <w:color w:val="000000"/>
                          <w:sz w:val="18"/>
                        </w:rPr>
                        <w:t>3</w:t>
                      </w:r>
                    </w:p>
                  </w:txbxContent>
                </v:textbox>
              </v:rect>
            </w:pict>
          </mc:Fallback>
        </mc:AlternateContent>
      </w:r>
    </w:p>
    <w:p w14:paraId="3846A765" w14:textId="77777777" w:rsidR="00435313" w:rsidRDefault="00435313">
      <w:pPr>
        <w:spacing w:before="120" w:after="120"/>
        <w:jc w:val="both"/>
        <w:rPr>
          <w:b/>
          <w:sz w:val="24"/>
          <w:szCs w:val="24"/>
        </w:rPr>
      </w:pPr>
    </w:p>
    <w:p w14:paraId="09909939" w14:textId="77777777" w:rsidR="00435313" w:rsidRDefault="00000000">
      <w:pPr>
        <w:spacing w:before="120" w:after="120"/>
        <w:jc w:val="both"/>
        <w:rPr>
          <w:b/>
          <w:sz w:val="24"/>
          <w:szCs w:val="24"/>
        </w:rPr>
      </w:pPr>
      <w:r>
        <w:rPr>
          <w:noProof/>
        </w:rPr>
        <mc:AlternateContent>
          <mc:Choice Requires="wps">
            <w:drawing>
              <wp:anchor distT="0" distB="0" distL="114300" distR="114300" simplePos="0" relativeHeight="251659264" behindDoc="0" locked="0" layoutInCell="1" hidden="0" allowOverlap="1" wp14:anchorId="394DA937" wp14:editId="73617686">
                <wp:simplePos x="0" y="0"/>
                <wp:positionH relativeFrom="column">
                  <wp:posOffset>1</wp:posOffset>
                </wp:positionH>
                <wp:positionV relativeFrom="paragraph">
                  <wp:posOffset>190500</wp:posOffset>
                </wp:positionV>
                <wp:extent cx="5715000"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2488500" y="3780000"/>
                          <a:ext cx="5715000" cy="0"/>
                        </a:xfrm>
                        <a:prstGeom prst="straightConnector1">
                          <a:avLst/>
                        </a:prstGeom>
                        <a:noFill/>
                        <a:ln w="19050" cap="flat" cmpd="sng">
                          <a:solidFill>
                            <a:schemeClr val="accent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715000" cy="19050"/>
                <wp:effectExtent b="0" l="0" r="0" t="0"/>
                <wp:wrapNone/>
                <wp:docPr id="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5715000" cy="19050"/>
                        </a:xfrm>
                        <a:prstGeom prst="rect"/>
                        <a:ln/>
                      </pic:spPr>
                    </pic:pic>
                  </a:graphicData>
                </a:graphic>
              </wp:anchor>
            </w:drawing>
          </mc:Fallback>
        </mc:AlternateContent>
      </w:r>
    </w:p>
    <w:p w14:paraId="0B52D6C8" w14:textId="77777777" w:rsidR="00435313" w:rsidRDefault="00000000">
      <w:pPr>
        <w:spacing w:before="120" w:after="120"/>
        <w:jc w:val="both"/>
        <w:rPr>
          <w:b/>
          <w:sz w:val="24"/>
          <w:szCs w:val="24"/>
        </w:rPr>
      </w:pPr>
      <w:r>
        <w:rPr>
          <w:b/>
          <w:sz w:val="24"/>
          <w:szCs w:val="24"/>
        </w:rPr>
        <w:t>Introduction</w:t>
      </w:r>
    </w:p>
    <w:p w14:paraId="6D00DA4D" w14:textId="77777777" w:rsidR="001A0C5B" w:rsidRPr="001A0C5B" w:rsidRDefault="001A0C5B" w:rsidP="001A0C5B">
      <w:pPr>
        <w:spacing w:before="120" w:after="120"/>
        <w:jc w:val="both"/>
        <w:rPr>
          <w:sz w:val="24"/>
          <w:szCs w:val="24"/>
        </w:rPr>
      </w:pPr>
      <w:bookmarkStart w:id="0" w:name="_heading=h.gjdgxs" w:colFirst="0" w:colLast="0"/>
      <w:bookmarkEnd w:id="0"/>
      <w:r w:rsidRPr="001A0C5B">
        <w:rPr>
          <w:sz w:val="24"/>
          <w:szCs w:val="24"/>
        </w:rPr>
        <w:t xml:space="preserve">Social health is a multidisciplinary discipline that focuses on social nicely-being, social interactions, and social factors that influence the health of individuals and society (Kim et al., 2021). This idea entails the understanding that health is not handiest decided by using medical factors, but is also prompted by the social, financial, and cultural environment wherein </w:t>
      </w:r>
      <w:proofErr w:type="gramStart"/>
      <w:r w:rsidRPr="001A0C5B">
        <w:rPr>
          <w:sz w:val="24"/>
          <w:szCs w:val="24"/>
        </w:rPr>
        <w:t>an</w:t>
      </w:r>
      <w:proofErr w:type="gramEnd"/>
      <w:r w:rsidRPr="001A0C5B">
        <w:rPr>
          <w:sz w:val="24"/>
          <w:szCs w:val="24"/>
        </w:rPr>
        <w:t xml:space="preserve"> man or woman or organization lives. In the ever-evolving panorama of the twenty first century, the pervasive </w:t>
      </w:r>
      <w:proofErr w:type="spellStart"/>
      <w:r w:rsidRPr="001A0C5B">
        <w:rPr>
          <w:sz w:val="24"/>
          <w:szCs w:val="24"/>
        </w:rPr>
        <w:t>affect</w:t>
      </w:r>
      <w:proofErr w:type="spellEnd"/>
      <w:r w:rsidRPr="001A0C5B">
        <w:rPr>
          <w:sz w:val="24"/>
          <w:szCs w:val="24"/>
        </w:rPr>
        <w:t xml:space="preserve"> of virtual technologies has fundamentally converted the manner people interact, speak, and shape connections (Fayzullayev &amp; Khalid, 2023). The rise of the digital age has ushered in remarkable possibilities for social engagement, fostering international connectivity, and allowing the rapid dissemination of records. However, as we navigate this digital frontier, it will become imperative to seriously have a look at the impact of those technological advancements on social fitness. This introspective evaluation is important for expertise the complex interplay among virtual technologies and the properly-being of people and groups.</w:t>
      </w:r>
    </w:p>
    <w:p w14:paraId="54C3B7D4" w14:textId="77777777" w:rsidR="001A0C5B" w:rsidRPr="001A0C5B" w:rsidRDefault="001A0C5B" w:rsidP="001A0C5B">
      <w:pPr>
        <w:spacing w:before="120" w:after="120"/>
        <w:jc w:val="both"/>
        <w:rPr>
          <w:sz w:val="24"/>
          <w:szCs w:val="24"/>
        </w:rPr>
      </w:pPr>
      <w:r w:rsidRPr="001A0C5B">
        <w:rPr>
          <w:sz w:val="24"/>
          <w:szCs w:val="24"/>
        </w:rPr>
        <w:lastRenderedPageBreak/>
        <w:t xml:space="preserve">The idea of social fitness, traditionally rooted in interpersonal relationships, community engagement, and </w:t>
      </w:r>
      <w:proofErr w:type="spellStart"/>
      <w:proofErr w:type="gramStart"/>
      <w:r w:rsidRPr="001A0C5B">
        <w:rPr>
          <w:sz w:val="24"/>
          <w:szCs w:val="24"/>
        </w:rPr>
        <w:t>a</w:t>
      </w:r>
      <w:proofErr w:type="spellEnd"/>
      <w:proofErr w:type="gramEnd"/>
      <w:r w:rsidRPr="001A0C5B">
        <w:rPr>
          <w:sz w:val="24"/>
          <w:szCs w:val="24"/>
        </w:rPr>
        <w:t xml:space="preserve"> experience of belonging, now faces both opportunities and demanding situations in the context of the virtual age (Bryant et al., 2021). This era is characterized by a plethora of online systems, social media networks, and virtual communique equipment that have reshaped the dynamics of social interactions (</w:t>
      </w:r>
      <w:proofErr w:type="spellStart"/>
      <w:r w:rsidRPr="001A0C5B">
        <w:rPr>
          <w:sz w:val="24"/>
          <w:szCs w:val="24"/>
        </w:rPr>
        <w:t>Ünlüsoy</w:t>
      </w:r>
      <w:proofErr w:type="spellEnd"/>
      <w:r w:rsidRPr="001A0C5B">
        <w:rPr>
          <w:sz w:val="24"/>
          <w:szCs w:val="24"/>
        </w:rPr>
        <w:t xml:space="preserve"> et al., 2022). As we explore the multifaceted dimensions of social fitness on this virtual milieu, it's far critical to recognize the transformative ability of those technologies at the same time as also acknowledging the capacity risks and demanding situations they pose.</w:t>
      </w:r>
    </w:p>
    <w:p w14:paraId="73702398" w14:textId="77777777" w:rsidR="001A0C5B" w:rsidRPr="001A0C5B" w:rsidRDefault="001A0C5B" w:rsidP="001A0C5B">
      <w:pPr>
        <w:spacing w:before="120" w:after="120"/>
        <w:jc w:val="both"/>
        <w:rPr>
          <w:sz w:val="24"/>
          <w:szCs w:val="24"/>
        </w:rPr>
      </w:pPr>
      <w:r w:rsidRPr="001A0C5B">
        <w:rPr>
          <w:sz w:val="24"/>
          <w:szCs w:val="24"/>
        </w:rPr>
        <w:t>One of the super possibilities offered via the digital age is the democratization of records and the facilitation of world connections (</w:t>
      </w:r>
      <w:proofErr w:type="spellStart"/>
      <w:r w:rsidRPr="001A0C5B">
        <w:rPr>
          <w:sz w:val="24"/>
          <w:szCs w:val="24"/>
        </w:rPr>
        <w:t>Öniş</w:t>
      </w:r>
      <w:proofErr w:type="spellEnd"/>
      <w:r w:rsidRPr="001A0C5B">
        <w:rPr>
          <w:sz w:val="24"/>
          <w:szCs w:val="24"/>
        </w:rPr>
        <w:t xml:space="preserve"> &amp; </w:t>
      </w:r>
      <w:proofErr w:type="spellStart"/>
      <w:r w:rsidRPr="001A0C5B">
        <w:rPr>
          <w:sz w:val="24"/>
          <w:szCs w:val="24"/>
        </w:rPr>
        <w:t>Kutlay</w:t>
      </w:r>
      <w:proofErr w:type="spellEnd"/>
      <w:r w:rsidRPr="001A0C5B">
        <w:rPr>
          <w:sz w:val="24"/>
          <w:szCs w:val="24"/>
        </w:rPr>
        <w:t>, 2020). Social media platforms together with Facebook, Twitter, and Instagram have enabled individuals to transcend geographical obstacles, connecting with like-minded individuals, forming communities, and engaging in move-cultural exchanges. This international interconnectedness has the capability to foster a feel of belonging and inclusivity, contributing definitely to social fitness. According to Pew Research Center (Katz &amp; Nandi, 2021), sixty-nine% of adults in the United States use social media, highlighting the sizeable adoption of these systems as a means of verbal exchange and connection. Great challenges to maintaining a healthy balance. A take a look at with the aid of Annamalai et al.  (2020) emphasizes the need for similarly studies on the psychological factors of digital addiction, highlighting its capability negative effects on people' social lives and typical well-being.</w:t>
      </w:r>
    </w:p>
    <w:p w14:paraId="3012676B" w14:textId="77777777" w:rsidR="001A0C5B" w:rsidRPr="001A0C5B" w:rsidRDefault="001A0C5B" w:rsidP="001A0C5B">
      <w:pPr>
        <w:spacing w:before="120" w:after="120"/>
        <w:jc w:val="both"/>
        <w:rPr>
          <w:sz w:val="24"/>
          <w:szCs w:val="24"/>
        </w:rPr>
      </w:pPr>
      <w:r w:rsidRPr="001A0C5B">
        <w:rPr>
          <w:sz w:val="24"/>
          <w:szCs w:val="24"/>
        </w:rPr>
        <w:t xml:space="preserve">The virtual age has also given upward push to the phenomenon of "technostress," where people revel in pressure and tension associated with using digital technologies. The regular notifications, facts overload, and the stress to maintain a curated online presence make contributions to this pressure. Research by means of Califf et al. (2020) underscores the want to address technostress as </w:t>
      </w:r>
      <w:proofErr w:type="spellStart"/>
      <w:proofErr w:type="gramStart"/>
      <w:r w:rsidRPr="001A0C5B">
        <w:rPr>
          <w:sz w:val="24"/>
          <w:szCs w:val="24"/>
        </w:rPr>
        <w:t>a</w:t>
      </w:r>
      <w:proofErr w:type="spellEnd"/>
      <w:proofErr w:type="gramEnd"/>
      <w:r w:rsidRPr="001A0C5B">
        <w:rPr>
          <w:sz w:val="24"/>
          <w:szCs w:val="24"/>
        </w:rPr>
        <w:t xml:space="preserve"> important factor of social fitness within the virtual age, recognizing that the bad impacts of generation use can make bigger beyond the realm of intellectual fitness to affect common social nicely-being. The dynamics of on-line communique gift challenges to the authenticity and intensity of social interactions. The incidence of online disinhibition, wherein people sense greater liberated to explicit themselves on line, can lead to both fine and negative consequences. While it permits for self-disclosure and the formation of supportive on-line communities, it additionally opens the door to cyberbullying and the unfold of misinformation. A observe by using Tandon et al. (2023) explores the mental effects of </w:t>
      </w:r>
      <w:proofErr w:type="gramStart"/>
      <w:r w:rsidRPr="001A0C5B">
        <w:rPr>
          <w:sz w:val="24"/>
          <w:szCs w:val="24"/>
        </w:rPr>
        <w:t>on line</w:t>
      </w:r>
      <w:proofErr w:type="gramEnd"/>
      <w:r w:rsidRPr="001A0C5B">
        <w:rPr>
          <w:sz w:val="24"/>
          <w:szCs w:val="24"/>
        </w:rPr>
        <w:t xml:space="preserve"> disinhibition, shedding light on the complexities of digital interactions and their implications for social fitness.</w:t>
      </w:r>
    </w:p>
    <w:p w14:paraId="4D164E9C" w14:textId="77777777" w:rsidR="001A0C5B" w:rsidRPr="001A0C5B" w:rsidRDefault="001A0C5B" w:rsidP="001A0C5B">
      <w:pPr>
        <w:spacing w:before="120" w:after="120"/>
        <w:jc w:val="both"/>
        <w:rPr>
          <w:sz w:val="24"/>
          <w:szCs w:val="24"/>
        </w:rPr>
      </w:pPr>
      <w:r w:rsidRPr="001A0C5B">
        <w:rPr>
          <w:sz w:val="24"/>
          <w:szCs w:val="24"/>
        </w:rPr>
        <w:t xml:space="preserve">Furthermore, virtual technologies provide new avenues for social aid and the dissemination of fitness-related statistics. Online communities, forums, and guide groups provide individuals going through health demanding situations with a platform to proportion reports, are searching for recommendation, and find emotional aid. Research by using </w:t>
      </w:r>
      <w:proofErr w:type="spellStart"/>
      <w:r w:rsidRPr="001A0C5B">
        <w:rPr>
          <w:sz w:val="24"/>
          <w:szCs w:val="24"/>
        </w:rPr>
        <w:t>Nomaguchi</w:t>
      </w:r>
      <w:proofErr w:type="spellEnd"/>
      <w:r w:rsidRPr="001A0C5B">
        <w:rPr>
          <w:sz w:val="24"/>
          <w:szCs w:val="24"/>
        </w:rPr>
        <w:t xml:space="preserve"> &amp; </w:t>
      </w:r>
      <w:proofErr w:type="spellStart"/>
      <w:r w:rsidRPr="001A0C5B">
        <w:rPr>
          <w:sz w:val="24"/>
          <w:szCs w:val="24"/>
        </w:rPr>
        <w:t>Milkie</w:t>
      </w:r>
      <w:proofErr w:type="spellEnd"/>
      <w:r w:rsidRPr="001A0C5B">
        <w:rPr>
          <w:sz w:val="24"/>
          <w:szCs w:val="24"/>
        </w:rPr>
        <w:t xml:space="preserve"> (2020) emphasizes the function of on-line assist organizations in improving the properly-being of people dealing with fitness issues, illustrating how digital structures can function valuable sources for promoting social health.</w:t>
      </w:r>
    </w:p>
    <w:p w14:paraId="557302C8" w14:textId="51DE023E" w:rsidR="00435313" w:rsidRDefault="001A0C5B" w:rsidP="001A0C5B">
      <w:pPr>
        <w:spacing w:before="120" w:after="120"/>
        <w:jc w:val="both"/>
        <w:rPr>
          <w:sz w:val="24"/>
          <w:szCs w:val="24"/>
        </w:rPr>
      </w:pPr>
      <w:r w:rsidRPr="001A0C5B">
        <w:rPr>
          <w:sz w:val="24"/>
          <w:szCs w:val="24"/>
        </w:rPr>
        <w:t xml:space="preserve">However, amid those possibilities, the digital age presents a complicated set of challenges that warrant careful attention. The ubiquity of social media has been associated with issues related to the satisfactory of social interactions, the upward push of cyberbullying, and the ability for social assessment. A examine by using Tandon et al. (2023) observed a tremendous association between social media use and despair amongst teenagers, elevating questions on the effect of digital technology on mental fitness and social nicely-being. Moreover, the phenomenon of "virtual addiction" has emerged as </w:t>
      </w:r>
      <w:proofErr w:type="gramStart"/>
      <w:r w:rsidRPr="001A0C5B">
        <w:rPr>
          <w:sz w:val="24"/>
          <w:szCs w:val="24"/>
        </w:rPr>
        <w:t>a</w:t>
      </w:r>
      <w:proofErr w:type="gramEnd"/>
      <w:r w:rsidRPr="001A0C5B">
        <w:rPr>
          <w:sz w:val="24"/>
          <w:szCs w:val="24"/>
        </w:rPr>
        <w:t xml:space="preserve"> urgent issue, with people experiencing compulsive </w:t>
      </w:r>
      <w:r w:rsidRPr="001A0C5B">
        <w:rPr>
          <w:sz w:val="24"/>
          <w:szCs w:val="24"/>
        </w:rPr>
        <w:lastRenderedPageBreak/>
        <w:t>behaviors associated with immoderate use of digital gadgets and social media. The consistent connectivity facilitated with the aid of smartphones and different digital gadgets has blurred the boundaries among online and offline lifestyles</w:t>
      </w:r>
      <w:r>
        <w:rPr>
          <w:sz w:val="24"/>
          <w:szCs w:val="24"/>
        </w:rPr>
        <w:t>.</w:t>
      </w:r>
    </w:p>
    <w:p w14:paraId="383E8707" w14:textId="77777777" w:rsidR="00435313" w:rsidRDefault="00000000">
      <w:pPr>
        <w:spacing w:before="120" w:after="120"/>
        <w:jc w:val="both"/>
        <w:rPr>
          <w:b/>
          <w:sz w:val="24"/>
          <w:szCs w:val="24"/>
        </w:rPr>
      </w:pPr>
      <w:r>
        <w:rPr>
          <w:b/>
          <w:sz w:val="24"/>
          <w:szCs w:val="24"/>
        </w:rPr>
        <w:t>Methods</w:t>
      </w:r>
    </w:p>
    <w:p w14:paraId="51CEDF40" w14:textId="3FFA37FF" w:rsidR="00435313" w:rsidRDefault="001A0C5B">
      <w:pPr>
        <w:spacing w:before="120" w:after="120"/>
        <w:jc w:val="both"/>
        <w:rPr>
          <w:sz w:val="24"/>
          <w:szCs w:val="24"/>
        </w:rPr>
      </w:pPr>
      <w:r w:rsidRPr="001A0C5B">
        <w:rPr>
          <w:sz w:val="24"/>
          <w:szCs w:val="24"/>
        </w:rPr>
        <w:t>The quantitative methodology applied in this take a look at hired a cross-sectional studies layout, analyzing a diverse sample of 300 members selected thru purposive sampling. The research device, a structured survey questionnaire with Likert-scale objects and closed-ended questions, aimed to degree contributors' attitudes, behaviors, and perceptions associated with the variables of hobby. Biometric measurements, which includes blood strain, heart price, and BMI, were performed via skilled healthcare specialists. Participants were recruited via a mixture of convenience and snowball sampling, with knowledgeable consent received before data collection. The survey changed into administered electronically, and bodily health exams have been completed in a managed environment. Descriptive facts, along with manner and standard deviations, summarized key characteristics, while inferential analyses, which include correlation and regression, explored relationships among variables. Statistical Package for the Social Sciences (SPSS) version 25. Zero facilitated correct information evaluation. Ethical concerns had been prioritized, with IRB approval obtained, and confidentiality and anonymity have been maintained all through. The strong quantitative method hired in this observe affords a foundation for the subsequent presentation and dialogue of key findings</w:t>
      </w:r>
      <w:r>
        <w:rPr>
          <w:sz w:val="24"/>
          <w:szCs w:val="24"/>
        </w:rPr>
        <w:t>.</w:t>
      </w:r>
    </w:p>
    <w:p w14:paraId="08576D93" w14:textId="77777777" w:rsidR="00435313" w:rsidRDefault="00000000">
      <w:pPr>
        <w:spacing w:before="120" w:after="120"/>
        <w:jc w:val="both"/>
        <w:rPr>
          <w:b/>
          <w:sz w:val="24"/>
          <w:szCs w:val="24"/>
        </w:rPr>
      </w:pPr>
      <w:r>
        <w:rPr>
          <w:b/>
          <w:sz w:val="24"/>
          <w:szCs w:val="24"/>
        </w:rPr>
        <w:t>Results and Discussion</w:t>
      </w:r>
    </w:p>
    <w:p w14:paraId="4AE77D02" w14:textId="77777777" w:rsidR="001A0C5B" w:rsidRPr="001A0C5B" w:rsidRDefault="001A0C5B" w:rsidP="001A0C5B">
      <w:pPr>
        <w:spacing w:before="120" w:after="120"/>
        <w:jc w:val="center"/>
        <w:rPr>
          <w:sz w:val="24"/>
          <w:szCs w:val="24"/>
        </w:rPr>
      </w:pPr>
      <w:r w:rsidRPr="001A0C5B">
        <w:rPr>
          <w:sz w:val="24"/>
          <w:szCs w:val="24"/>
        </w:rPr>
        <w:t>Table 1. Participant Demographics</w:t>
      </w:r>
    </w:p>
    <w:tbl>
      <w:tblPr>
        <w:tblStyle w:val="TableGrid"/>
        <w:tblW w:w="7038" w:type="dxa"/>
        <w:jc w:val="center"/>
        <w:tblLook w:val="04A0" w:firstRow="1" w:lastRow="0" w:firstColumn="1" w:lastColumn="0" w:noHBand="0" w:noVBand="1"/>
      </w:tblPr>
      <w:tblGrid>
        <w:gridCol w:w="2718"/>
        <w:gridCol w:w="1980"/>
        <w:gridCol w:w="2340"/>
      </w:tblGrid>
      <w:tr w:rsidR="001A0C5B" w:rsidRPr="001A0C5B" w14:paraId="3DE90BB8" w14:textId="77777777" w:rsidTr="001A0C5B">
        <w:trPr>
          <w:jc w:val="center"/>
        </w:trPr>
        <w:tc>
          <w:tcPr>
            <w:tcW w:w="2718" w:type="dxa"/>
            <w:vAlign w:val="center"/>
            <w:hideMark/>
          </w:tcPr>
          <w:p w14:paraId="2DB381A1" w14:textId="77777777" w:rsidR="001A0C5B" w:rsidRPr="001A0C5B" w:rsidRDefault="001A0C5B" w:rsidP="001A0C5B">
            <w:pPr>
              <w:jc w:val="center"/>
              <w:rPr>
                <w:b/>
                <w:bCs/>
                <w:sz w:val="24"/>
                <w:szCs w:val="24"/>
              </w:rPr>
            </w:pPr>
            <w:r w:rsidRPr="001A0C5B">
              <w:rPr>
                <w:b/>
                <w:bCs/>
                <w:sz w:val="24"/>
                <w:szCs w:val="24"/>
              </w:rPr>
              <w:t>Demographic Variable</w:t>
            </w:r>
          </w:p>
        </w:tc>
        <w:tc>
          <w:tcPr>
            <w:tcW w:w="1980" w:type="dxa"/>
            <w:vAlign w:val="center"/>
            <w:hideMark/>
          </w:tcPr>
          <w:p w14:paraId="5A80D767" w14:textId="77777777" w:rsidR="001A0C5B" w:rsidRPr="001A0C5B" w:rsidRDefault="001A0C5B" w:rsidP="001A0C5B">
            <w:pPr>
              <w:jc w:val="center"/>
              <w:rPr>
                <w:b/>
                <w:bCs/>
                <w:sz w:val="24"/>
                <w:szCs w:val="24"/>
              </w:rPr>
            </w:pPr>
            <w:r w:rsidRPr="001A0C5B">
              <w:rPr>
                <w:b/>
                <w:bCs/>
                <w:sz w:val="24"/>
                <w:szCs w:val="24"/>
              </w:rPr>
              <w:t>Frequency (n)</w:t>
            </w:r>
          </w:p>
        </w:tc>
        <w:tc>
          <w:tcPr>
            <w:tcW w:w="2340" w:type="dxa"/>
            <w:vAlign w:val="center"/>
            <w:hideMark/>
          </w:tcPr>
          <w:p w14:paraId="1BD46310" w14:textId="77777777" w:rsidR="001A0C5B" w:rsidRPr="001A0C5B" w:rsidRDefault="001A0C5B" w:rsidP="001A0C5B">
            <w:pPr>
              <w:jc w:val="center"/>
              <w:rPr>
                <w:b/>
                <w:bCs/>
                <w:sz w:val="24"/>
                <w:szCs w:val="24"/>
              </w:rPr>
            </w:pPr>
            <w:r w:rsidRPr="001A0C5B">
              <w:rPr>
                <w:b/>
                <w:bCs/>
                <w:sz w:val="24"/>
                <w:szCs w:val="24"/>
              </w:rPr>
              <w:t>Percentage (%)</w:t>
            </w:r>
          </w:p>
        </w:tc>
      </w:tr>
      <w:tr w:rsidR="001A0C5B" w:rsidRPr="001A0C5B" w14:paraId="7B150F9A" w14:textId="77777777" w:rsidTr="001A0C5B">
        <w:trPr>
          <w:jc w:val="center"/>
        </w:trPr>
        <w:tc>
          <w:tcPr>
            <w:tcW w:w="2718" w:type="dxa"/>
            <w:vAlign w:val="center"/>
            <w:hideMark/>
          </w:tcPr>
          <w:p w14:paraId="30736072" w14:textId="77777777" w:rsidR="001A0C5B" w:rsidRPr="001A0C5B" w:rsidRDefault="001A0C5B" w:rsidP="001A0C5B">
            <w:pPr>
              <w:jc w:val="center"/>
              <w:rPr>
                <w:sz w:val="24"/>
                <w:szCs w:val="24"/>
              </w:rPr>
            </w:pPr>
            <w:r w:rsidRPr="001A0C5B">
              <w:rPr>
                <w:sz w:val="24"/>
                <w:szCs w:val="24"/>
              </w:rPr>
              <w:t>Gender (Male/Female)</w:t>
            </w:r>
          </w:p>
        </w:tc>
        <w:tc>
          <w:tcPr>
            <w:tcW w:w="1980" w:type="dxa"/>
            <w:vAlign w:val="center"/>
            <w:hideMark/>
          </w:tcPr>
          <w:p w14:paraId="5547BDA5" w14:textId="77777777" w:rsidR="001A0C5B" w:rsidRPr="001A0C5B" w:rsidRDefault="001A0C5B" w:rsidP="001A0C5B">
            <w:pPr>
              <w:jc w:val="center"/>
              <w:rPr>
                <w:sz w:val="24"/>
                <w:szCs w:val="24"/>
              </w:rPr>
            </w:pPr>
            <w:r w:rsidRPr="001A0C5B">
              <w:rPr>
                <w:sz w:val="24"/>
                <w:szCs w:val="24"/>
              </w:rPr>
              <w:t>150 / 150</w:t>
            </w:r>
          </w:p>
        </w:tc>
        <w:tc>
          <w:tcPr>
            <w:tcW w:w="2340" w:type="dxa"/>
            <w:vAlign w:val="center"/>
            <w:hideMark/>
          </w:tcPr>
          <w:p w14:paraId="3C4340AD" w14:textId="77777777" w:rsidR="001A0C5B" w:rsidRPr="001A0C5B" w:rsidRDefault="001A0C5B" w:rsidP="001A0C5B">
            <w:pPr>
              <w:jc w:val="center"/>
              <w:rPr>
                <w:sz w:val="24"/>
                <w:szCs w:val="24"/>
              </w:rPr>
            </w:pPr>
            <w:r w:rsidRPr="001A0C5B">
              <w:rPr>
                <w:sz w:val="24"/>
                <w:szCs w:val="24"/>
              </w:rPr>
              <w:t>50 / 50</w:t>
            </w:r>
          </w:p>
        </w:tc>
      </w:tr>
      <w:tr w:rsidR="001A0C5B" w:rsidRPr="001A0C5B" w14:paraId="433CFB0F" w14:textId="77777777" w:rsidTr="001A0C5B">
        <w:trPr>
          <w:jc w:val="center"/>
        </w:trPr>
        <w:tc>
          <w:tcPr>
            <w:tcW w:w="2718" w:type="dxa"/>
            <w:vAlign w:val="center"/>
            <w:hideMark/>
          </w:tcPr>
          <w:p w14:paraId="72047038" w14:textId="77777777" w:rsidR="001A0C5B" w:rsidRPr="001A0C5B" w:rsidRDefault="001A0C5B" w:rsidP="001A0C5B">
            <w:pPr>
              <w:jc w:val="center"/>
              <w:rPr>
                <w:sz w:val="24"/>
                <w:szCs w:val="24"/>
              </w:rPr>
            </w:pPr>
            <w:r w:rsidRPr="001A0C5B">
              <w:rPr>
                <w:sz w:val="24"/>
                <w:szCs w:val="24"/>
              </w:rPr>
              <w:t>Age (years)</w:t>
            </w:r>
          </w:p>
        </w:tc>
        <w:tc>
          <w:tcPr>
            <w:tcW w:w="1980" w:type="dxa"/>
            <w:vAlign w:val="center"/>
            <w:hideMark/>
          </w:tcPr>
          <w:p w14:paraId="2F51F620" w14:textId="77777777" w:rsidR="001A0C5B" w:rsidRPr="001A0C5B" w:rsidRDefault="001A0C5B" w:rsidP="001A0C5B">
            <w:pPr>
              <w:jc w:val="center"/>
              <w:rPr>
                <w:sz w:val="24"/>
                <w:szCs w:val="24"/>
              </w:rPr>
            </w:pPr>
            <w:r w:rsidRPr="001A0C5B">
              <w:rPr>
                <w:sz w:val="24"/>
                <w:szCs w:val="24"/>
              </w:rPr>
              <w:t>Mean: 28.5</w:t>
            </w:r>
          </w:p>
        </w:tc>
        <w:tc>
          <w:tcPr>
            <w:tcW w:w="2340" w:type="dxa"/>
            <w:vAlign w:val="center"/>
            <w:hideMark/>
          </w:tcPr>
          <w:p w14:paraId="765C051C" w14:textId="77777777" w:rsidR="001A0C5B" w:rsidRPr="001A0C5B" w:rsidRDefault="001A0C5B" w:rsidP="001A0C5B">
            <w:pPr>
              <w:jc w:val="center"/>
              <w:rPr>
                <w:sz w:val="24"/>
                <w:szCs w:val="24"/>
              </w:rPr>
            </w:pPr>
            <w:r w:rsidRPr="001A0C5B">
              <w:rPr>
                <w:sz w:val="24"/>
                <w:szCs w:val="24"/>
              </w:rPr>
              <w:t>SD: 4.2</w:t>
            </w:r>
          </w:p>
        </w:tc>
      </w:tr>
      <w:tr w:rsidR="001A0C5B" w:rsidRPr="001A0C5B" w14:paraId="4DC24E1D" w14:textId="77777777" w:rsidTr="001A0C5B">
        <w:trPr>
          <w:jc w:val="center"/>
        </w:trPr>
        <w:tc>
          <w:tcPr>
            <w:tcW w:w="2718" w:type="dxa"/>
            <w:vAlign w:val="center"/>
            <w:hideMark/>
          </w:tcPr>
          <w:p w14:paraId="157839E8" w14:textId="77777777" w:rsidR="001A0C5B" w:rsidRPr="001A0C5B" w:rsidRDefault="001A0C5B" w:rsidP="001A0C5B">
            <w:pPr>
              <w:jc w:val="center"/>
              <w:rPr>
                <w:sz w:val="24"/>
                <w:szCs w:val="24"/>
              </w:rPr>
            </w:pPr>
            <w:r w:rsidRPr="001A0C5B">
              <w:rPr>
                <w:sz w:val="24"/>
                <w:szCs w:val="24"/>
              </w:rPr>
              <w:t>Education Level</w:t>
            </w:r>
          </w:p>
        </w:tc>
        <w:tc>
          <w:tcPr>
            <w:tcW w:w="1980" w:type="dxa"/>
            <w:vAlign w:val="center"/>
            <w:hideMark/>
          </w:tcPr>
          <w:p w14:paraId="40522963" w14:textId="77777777" w:rsidR="001A0C5B" w:rsidRPr="001A0C5B" w:rsidRDefault="001A0C5B" w:rsidP="001A0C5B">
            <w:pPr>
              <w:jc w:val="center"/>
              <w:rPr>
                <w:sz w:val="24"/>
                <w:szCs w:val="24"/>
              </w:rPr>
            </w:pPr>
            <w:r w:rsidRPr="001A0C5B">
              <w:rPr>
                <w:sz w:val="24"/>
                <w:szCs w:val="24"/>
              </w:rPr>
              <w:t>High School: 80</w:t>
            </w:r>
          </w:p>
        </w:tc>
        <w:tc>
          <w:tcPr>
            <w:tcW w:w="2340" w:type="dxa"/>
            <w:vAlign w:val="center"/>
            <w:hideMark/>
          </w:tcPr>
          <w:p w14:paraId="2B0A85F8" w14:textId="77777777" w:rsidR="001A0C5B" w:rsidRPr="001A0C5B" w:rsidRDefault="001A0C5B" w:rsidP="001A0C5B">
            <w:pPr>
              <w:jc w:val="center"/>
              <w:rPr>
                <w:sz w:val="24"/>
                <w:szCs w:val="24"/>
              </w:rPr>
            </w:pPr>
            <w:r w:rsidRPr="001A0C5B">
              <w:rPr>
                <w:sz w:val="24"/>
                <w:szCs w:val="24"/>
              </w:rPr>
              <w:t>College: 120</w:t>
            </w:r>
          </w:p>
        </w:tc>
      </w:tr>
    </w:tbl>
    <w:p w14:paraId="323B9244" w14:textId="77777777" w:rsidR="001A0C5B" w:rsidRPr="001A0C5B" w:rsidRDefault="001A0C5B" w:rsidP="001A0C5B">
      <w:pPr>
        <w:spacing w:before="120" w:after="120"/>
        <w:jc w:val="both"/>
        <w:rPr>
          <w:sz w:val="24"/>
          <w:szCs w:val="24"/>
        </w:rPr>
      </w:pPr>
      <w:r w:rsidRPr="001A0C5B">
        <w:rPr>
          <w:sz w:val="24"/>
          <w:szCs w:val="24"/>
        </w:rPr>
        <w:t xml:space="preserve">Table 1, gives a detailed overview of the traits of the study's individuals. The gender distribution displays a balanced illustration, with 150 male and 150 girl participants, ensuring a numerous pattern for analysis. The common age of the members is 28.5 years, with a fashionable deviation of 4.2, indicating </w:t>
      </w:r>
      <w:proofErr w:type="spellStart"/>
      <w:proofErr w:type="gramStart"/>
      <w:r w:rsidRPr="001A0C5B">
        <w:rPr>
          <w:sz w:val="24"/>
          <w:szCs w:val="24"/>
        </w:rPr>
        <w:t>a</w:t>
      </w:r>
      <w:proofErr w:type="spellEnd"/>
      <w:proofErr w:type="gramEnd"/>
      <w:r w:rsidRPr="001A0C5B">
        <w:rPr>
          <w:sz w:val="24"/>
          <w:szCs w:val="24"/>
        </w:rPr>
        <w:t xml:space="preserve"> exceptionally homogeneous age group. This demographic statistic is important for contextualizing the have a look </w:t>
      </w:r>
      <w:proofErr w:type="spellStart"/>
      <w:r w:rsidRPr="001A0C5B">
        <w:rPr>
          <w:sz w:val="24"/>
          <w:szCs w:val="24"/>
        </w:rPr>
        <w:t>at's</w:t>
      </w:r>
      <w:proofErr w:type="spellEnd"/>
      <w:r w:rsidRPr="001A0C5B">
        <w:rPr>
          <w:sz w:val="24"/>
          <w:szCs w:val="24"/>
        </w:rPr>
        <w:t xml:space="preserve"> findings, as age and gender dynamics can appreciably impact each social media usage patterns and intellectual well-being. Additionally, the education stage of the contributors is printed in Table 1, with 80 individuals having finished excessive school and a hundred and twenty having attained a college schooling. Education stage serves as </w:t>
      </w:r>
      <w:proofErr w:type="gramStart"/>
      <w:r w:rsidRPr="001A0C5B">
        <w:rPr>
          <w:sz w:val="24"/>
          <w:szCs w:val="24"/>
        </w:rPr>
        <w:t>a</w:t>
      </w:r>
      <w:proofErr w:type="gramEnd"/>
      <w:r w:rsidRPr="001A0C5B">
        <w:rPr>
          <w:sz w:val="24"/>
          <w:szCs w:val="24"/>
        </w:rPr>
        <w:t xml:space="preserve"> applicable demographic variable, as it is able to influence no longer best the familiarity and engagement with virtual technology but additionally socio-monetary elements that would impact intellectual properly-being. Understanding the demographic composition of the sample lays the groundwork for decoding next findings, bearing in mind a nuanced analysis that considers the capability have an impact on of demographic variables at the take a look </w:t>
      </w:r>
      <w:proofErr w:type="spellStart"/>
      <w:r w:rsidRPr="001A0C5B">
        <w:rPr>
          <w:sz w:val="24"/>
          <w:szCs w:val="24"/>
        </w:rPr>
        <w:t>at's</w:t>
      </w:r>
      <w:proofErr w:type="spellEnd"/>
      <w:r w:rsidRPr="001A0C5B">
        <w:rPr>
          <w:sz w:val="24"/>
          <w:szCs w:val="24"/>
        </w:rPr>
        <w:t xml:space="preserve"> outcomes.</w:t>
      </w:r>
    </w:p>
    <w:p w14:paraId="32670B7A" w14:textId="77777777" w:rsidR="001A0C5B" w:rsidRPr="001A0C5B" w:rsidRDefault="001A0C5B" w:rsidP="001A0C5B">
      <w:pPr>
        <w:spacing w:before="120" w:after="120"/>
        <w:jc w:val="center"/>
        <w:rPr>
          <w:sz w:val="24"/>
          <w:szCs w:val="24"/>
        </w:rPr>
      </w:pPr>
      <w:r w:rsidRPr="001A0C5B">
        <w:rPr>
          <w:sz w:val="24"/>
          <w:szCs w:val="24"/>
        </w:rPr>
        <w:t>Table 2. Social Media Usage Patterns</w:t>
      </w:r>
    </w:p>
    <w:tbl>
      <w:tblPr>
        <w:tblStyle w:val="TableGrid"/>
        <w:tblW w:w="6488" w:type="dxa"/>
        <w:jc w:val="center"/>
        <w:tblLook w:val="04A0" w:firstRow="1" w:lastRow="0" w:firstColumn="1" w:lastColumn="0" w:noHBand="0" w:noVBand="1"/>
      </w:tblPr>
      <w:tblGrid>
        <w:gridCol w:w="2528"/>
        <w:gridCol w:w="1980"/>
        <w:gridCol w:w="1980"/>
      </w:tblGrid>
      <w:tr w:rsidR="001A0C5B" w:rsidRPr="001A0C5B" w14:paraId="7C9A359A" w14:textId="77777777" w:rsidTr="001A0C5B">
        <w:trPr>
          <w:jc w:val="center"/>
        </w:trPr>
        <w:tc>
          <w:tcPr>
            <w:tcW w:w="2528" w:type="dxa"/>
            <w:vAlign w:val="center"/>
            <w:hideMark/>
          </w:tcPr>
          <w:p w14:paraId="363019D1" w14:textId="77777777" w:rsidR="001A0C5B" w:rsidRPr="001A0C5B" w:rsidRDefault="001A0C5B" w:rsidP="001A0C5B">
            <w:pPr>
              <w:jc w:val="center"/>
              <w:rPr>
                <w:b/>
                <w:bCs/>
                <w:sz w:val="24"/>
                <w:szCs w:val="24"/>
              </w:rPr>
            </w:pPr>
            <w:r w:rsidRPr="001A0C5B">
              <w:rPr>
                <w:b/>
                <w:bCs/>
                <w:sz w:val="24"/>
                <w:szCs w:val="24"/>
              </w:rPr>
              <w:t>Social Media Platform</w:t>
            </w:r>
          </w:p>
        </w:tc>
        <w:tc>
          <w:tcPr>
            <w:tcW w:w="1980" w:type="dxa"/>
            <w:vAlign w:val="center"/>
            <w:hideMark/>
          </w:tcPr>
          <w:p w14:paraId="6E5B403D" w14:textId="77777777" w:rsidR="001A0C5B" w:rsidRPr="001A0C5B" w:rsidRDefault="001A0C5B" w:rsidP="001A0C5B">
            <w:pPr>
              <w:jc w:val="center"/>
              <w:rPr>
                <w:b/>
                <w:bCs/>
                <w:sz w:val="24"/>
                <w:szCs w:val="24"/>
              </w:rPr>
            </w:pPr>
            <w:r w:rsidRPr="001A0C5B">
              <w:rPr>
                <w:b/>
                <w:bCs/>
                <w:sz w:val="24"/>
                <w:szCs w:val="24"/>
              </w:rPr>
              <w:t>Frequency (n)</w:t>
            </w:r>
          </w:p>
        </w:tc>
        <w:tc>
          <w:tcPr>
            <w:tcW w:w="1980" w:type="dxa"/>
            <w:vAlign w:val="center"/>
            <w:hideMark/>
          </w:tcPr>
          <w:p w14:paraId="3DBC51C8" w14:textId="77777777" w:rsidR="001A0C5B" w:rsidRPr="001A0C5B" w:rsidRDefault="001A0C5B" w:rsidP="001A0C5B">
            <w:pPr>
              <w:jc w:val="center"/>
              <w:rPr>
                <w:b/>
                <w:bCs/>
                <w:sz w:val="24"/>
                <w:szCs w:val="24"/>
              </w:rPr>
            </w:pPr>
            <w:r w:rsidRPr="001A0C5B">
              <w:rPr>
                <w:b/>
                <w:bCs/>
                <w:sz w:val="24"/>
                <w:szCs w:val="24"/>
              </w:rPr>
              <w:t>Percentage (%)</w:t>
            </w:r>
          </w:p>
        </w:tc>
      </w:tr>
      <w:tr w:rsidR="001A0C5B" w:rsidRPr="001A0C5B" w14:paraId="72CC0574" w14:textId="77777777" w:rsidTr="001A0C5B">
        <w:trPr>
          <w:jc w:val="center"/>
        </w:trPr>
        <w:tc>
          <w:tcPr>
            <w:tcW w:w="2528" w:type="dxa"/>
            <w:vAlign w:val="center"/>
            <w:hideMark/>
          </w:tcPr>
          <w:p w14:paraId="43074DE1" w14:textId="77777777" w:rsidR="001A0C5B" w:rsidRPr="001A0C5B" w:rsidRDefault="001A0C5B" w:rsidP="001A0C5B">
            <w:pPr>
              <w:jc w:val="center"/>
              <w:rPr>
                <w:sz w:val="24"/>
                <w:szCs w:val="24"/>
              </w:rPr>
            </w:pPr>
            <w:r w:rsidRPr="001A0C5B">
              <w:rPr>
                <w:sz w:val="24"/>
                <w:szCs w:val="24"/>
              </w:rPr>
              <w:t>Facebook</w:t>
            </w:r>
          </w:p>
        </w:tc>
        <w:tc>
          <w:tcPr>
            <w:tcW w:w="1980" w:type="dxa"/>
            <w:vAlign w:val="center"/>
            <w:hideMark/>
          </w:tcPr>
          <w:p w14:paraId="0A43912D" w14:textId="77777777" w:rsidR="001A0C5B" w:rsidRPr="001A0C5B" w:rsidRDefault="001A0C5B" w:rsidP="001A0C5B">
            <w:pPr>
              <w:jc w:val="center"/>
              <w:rPr>
                <w:sz w:val="24"/>
                <w:szCs w:val="24"/>
              </w:rPr>
            </w:pPr>
            <w:r w:rsidRPr="001A0C5B">
              <w:rPr>
                <w:sz w:val="24"/>
                <w:szCs w:val="24"/>
              </w:rPr>
              <w:t>200</w:t>
            </w:r>
          </w:p>
        </w:tc>
        <w:tc>
          <w:tcPr>
            <w:tcW w:w="1980" w:type="dxa"/>
            <w:vAlign w:val="center"/>
            <w:hideMark/>
          </w:tcPr>
          <w:p w14:paraId="5D25160E" w14:textId="77777777" w:rsidR="001A0C5B" w:rsidRPr="001A0C5B" w:rsidRDefault="001A0C5B" w:rsidP="001A0C5B">
            <w:pPr>
              <w:jc w:val="center"/>
              <w:rPr>
                <w:sz w:val="24"/>
                <w:szCs w:val="24"/>
              </w:rPr>
            </w:pPr>
            <w:r w:rsidRPr="001A0C5B">
              <w:rPr>
                <w:sz w:val="24"/>
                <w:szCs w:val="24"/>
              </w:rPr>
              <w:t>66.7</w:t>
            </w:r>
          </w:p>
        </w:tc>
      </w:tr>
      <w:tr w:rsidR="001A0C5B" w:rsidRPr="001A0C5B" w14:paraId="4B09DE71" w14:textId="77777777" w:rsidTr="001A0C5B">
        <w:trPr>
          <w:jc w:val="center"/>
        </w:trPr>
        <w:tc>
          <w:tcPr>
            <w:tcW w:w="2528" w:type="dxa"/>
            <w:vAlign w:val="center"/>
            <w:hideMark/>
          </w:tcPr>
          <w:p w14:paraId="17FA2256" w14:textId="77777777" w:rsidR="001A0C5B" w:rsidRPr="001A0C5B" w:rsidRDefault="001A0C5B" w:rsidP="001A0C5B">
            <w:pPr>
              <w:jc w:val="center"/>
              <w:rPr>
                <w:sz w:val="24"/>
                <w:szCs w:val="24"/>
              </w:rPr>
            </w:pPr>
            <w:r w:rsidRPr="001A0C5B">
              <w:rPr>
                <w:sz w:val="24"/>
                <w:szCs w:val="24"/>
              </w:rPr>
              <w:t>Instagram</w:t>
            </w:r>
          </w:p>
        </w:tc>
        <w:tc>
          <w:tcPr>
            <w:tcW w:w="1980" w:type="dxa"/>
            <w:vAlign w:val="center"/>
            <w:hideMark/>
          </w:tcPr>
          <w:p w14:paraId="720405FF" w14:textId="77777777" w:rsidR="001A0C5B" w:rsidRPr="001A0C5B" w:rsidRDefault="001A0C5B" w:rsidP="001A0C5B">
            <w:pPr>
              <w:jc w:val="center"/>
              <w:rPr>
                <w:sz w:val="24"/>
                <w:szCs w:val="24"/>
              </w:rPr>
            </w:pPr>
            <w:r w:rsidRPr="001A0C5B">
              <w:rPr>
                <w:sz w:val="24"/>
                <w:szCs w:val="24"/>
              </w:rPr>
              <w:t>120</w:t>
            </w:r>
          </w:p>
        </w:tc>
        <w:tc>
          <w:tcPr>
            <w:tcW w:w="1980" w:type="dxa"/>
            <w:vAlign w:val="center"/>
            <w:hideMark/>
          </w:tcPr>
          <w:p w14:paraId="1F66EFCA" w14:textId="77777777" w:rsidR="001A0C5B" w:rsidRPr="001A0C5B" w:rsidRDefault="001A0C5B" w:rsidP="001A0C5B">
            <w:pPr>
              <w:jc w:val="center"/>
              <w:rPr>
                <w:sz w:val="24"/>
                <w:szCs w:val="24"/>
              </w:rPr>
            </w:pPr>
            <w:r w:rsidRPr="001A0C5B">
              <w:rPr>
                <w:sz w:val="24"/>
                <w:szCs w:val="24"/>
              </w:rPr>
              <w:t>40.0</w:t>
            </w:r>
          </w:p>
        </w:tc>
      </w:tr>
      <w:tr w:rsidR="001A0C5B" w:rsidRPr="001A0C5B" w14:paraId="49A9E4D1" w14:textId="77777777" w:rsidTr="001A0C5B">
        <w:trPr>
          <w:jc w:val="center"/>
        </w:trPr>
        <w:tc>
          <w:tcPr>
            <w:tcW w:w="2528" w:type="dxa"/>
            <w:vAlign w:val="center"/>
            <w:hideMark/>
          </w:tcPr>
          <w:p w14:paraId="54A76885" w14:textId="77777777" w:rsidR="001A0C5B" w:rsidRPr="001A0C5B" w:rsidRDefault="001A0C5B" w:rsidP="001A0C5B">
            <w:pPr>
              <w:jc w:val="center"/>
              <w:rPr>
                <w:sz w:val="24"/>
                <w:szCs w:val="24"/>
              </w:rPr>
            </w:pPr>
            <w:r w:rsidRPr="001A0C5B">
              <w:rPr>
                <w:sz w:val="24"/>
                <w:szCs w:val="24"/>
              </w:rPr>
              <w:t>Twitter</w:t>
            </w:r>
          </w:p>
        </w:tc>
        <w:tc>
          <w:tcPr>
            <w:tcW w:w="1980" w:type="dxa"/>
            <w:vAlign w:val="center"/>
            <w:hideMark/>
          </w:tcPr>
          <w:p w14:paraId="35619D7E" w14:textId="77777777" w:rsidR="001A0C5B" w:rsidRPr="001A0C5B" w:rsidRDefault="001A0C5B" w:rsidP="001A0C5B">
            <w:pPr>
              <w:jc w:val="center"/>
              <w:rPr>
                <w:sz w:val="24"/>
                <w:szCs w:val="24"/>
              </w:rPr>
            </w:pPr>
            <w:r w:rsidRPr="001A0C5B">
              <w:rPr>
                <w:sz w:val="24"/>
                <w:szCs w:val="24"/>
              </w:rPr>
              <w:t>80</w:t>
            </w:r>
          </w:p>
        </w:tc>
        <w:tc>
          <w:tcPr>
            <w:tcW w:w="1980" w:type="dxa"/>
            <w:vAlign w:val="center"/>
            <w:hideMark/>
          </w:tcPr>
          <w:p w14:paraId="7CE3C92E" w14:textId="77777777" w:rsidR="001A0C5B" w:rsidRPr="001A0C5B" w:rsidRDefault="001A0C5B" w:rsidP="001A0C5B">
            <w:pPr>
              <w:jc w:val="center"/>
              <w:rPr>
                <w:sz w:val="24"/>
                <w:szCs w:val="24"/>
              </w:rPr>
            </w:pPr>
            <w:r w:rsidRPr="001A0C5B">
              <w:rPr>
                <w:sz w:val="24"/>
                <w:szCs w:val="24"/>
              </w:rPr>
              <w:t>26.7</w:t>
            </w:r>
          </w:p>
        </w:tc>
      </w:tr>
    </w:tbl>
    <w:p w14:paraId="15BC108D" w14:textId="77777777" w:rsidR="001A0C5B" w:rsidRPr="001A0C5B" w:rsidRDefault="001A0C5B" w:rsidP="001A0C5B">
      <w:pPr>
        <w:spacing w:before="120" w:after="120"/>
        <w:jc w:val="both"/>
        <w:rPr>
          <w:sz w:val="24"/>
          <w:szCs w:val="24"/>
        </w:rPr>
      </w:pPr>
      <w:r w:rsidRPr="001A0C5B">
        <w:rPr>
          <w:sz w:val="24"/>
          <w:szCs w:val="24"/>
        </w:rPr>
        <w:lastRenderedPageBreak/>
        <w:t xml:space="preserve">Table 2 delves into the social media panorama of the study participants, offering insights into their usage patterns throughout specific systems. The maximum established platform is Facebook, with 66.7% of participants reporting utilization. Instagram follows intently, with 40. Zero%, whilst Twitter has an 26.7% adoption fee. These figures provide a nuanced know-how of the numerous alternatives inside the pattern, emphasizing the want to recollect platform-unique dynamics inside the next analyses. The facts offered in Table 2 make contributions to a contextualized exploration of members' digital behaviors. For example, the better occurrence of Facebook utilization may also indicate its enormous recognition for social interactions, even as the lower adoption charge of Twitter indicates </w:t>
      </w:r>
      <w:proofErr w:type="spellStart"/>
      <w:proofErr w:type="gramStart"/>
      <w:r w:rsidRPr="001A0C5B">
        <w:rPr>
          <w:sz w:val="24"/>
          <w:szCs w:val="24"/>
        </w:rPr>
        <w:t>a</w:t>
      </w:r>
      <w:proofErr w:type="spellEnd"/>
      <w:proofErr w:type="gramEnd"/>
      <w:r w:rsidRPr="001A0C5B">
        <w:rPr>
          <w:sz w:val="24"/>
          <w:szCs w:val="24"/>
        </w:rPr>
        <w:t xml:space="preserve"> extra selective consumer base. This nuanced comprehension of social media utilization styles is crucial for deciphering capacity associations with intellectual well-being, as each platform includes distinct features that may affect customers in a different way.</w:t>
      </w:r>
    </w:p>
    <w:p w14:paraId="6AD3B6E7" w14:textId="77777777" w:rsidR="001A0C5B" w:rsidRPr="001A0C5B" w:rsidRDefault="001A0C5B" w:rsidP="001A0C5B">
      <w:pPr>
        <w:spacing w:before="120" w:after="120"/>
        <w:jc w:val="both"/>
        <w:rPr>
          <w:sz w:val="24"/>
          <w:szCs w:val="24"/>
        </w:rPr>
      </w:pPr>
      <w:r w:rsidRPr="001A0C5B">
        <w:rPr>
          <w:sz w:val="24"/>
          <w:szCs w:val="24"/>
        </w:rPr>
        <w:t>Furthermore, the social media utilization styles highlighted in Table 2 also provide a basis for considering capability correlations with demographic variables mentioned in Table 1. Understanding whether or not positive age corporations or academic backgrounds are more willing closer to particular systems can tell the subsequent analyses, contributing to a complete interpretation of the problematic courting between social media utilization and mental properly-being.</w:t>
      </w:r>
    </w:p>
    <w:p w14:paraId="571CB946" w14:textId="77777777" w:rsidR="001A0C5B" w:rsidRPr="001A0C5B" w:rsidRDefault="001A0C5B" w:rsidP="001A0C5B">
      <w:pPr>
        <w:spacing w:before="120" w:after="120"/>
        <w:jc w:val="center"/>
        <w:rPr>
          <w:sz w:val="24"/>
          <w:szCs w:val="24"/>
        </w:rPr>
      </w:pPr>
      <w:r w:rsidRPr="001A0C5B">
        <w:rPr>
          <w:sz w:val="24"/>
          <w:szCs w:val="24"/>
        </w:rPr>
        <w:t>Table 3. Mental Well-being Scores</w:t>
      </w:r>
    </w:p>
    <w:tbl>
      <w:tblPr>
        <w:tblStyle w:val="TableGrid"/>
        <w:tblW w:w="8610" w:type="dxa"/>
        <w:jc w:val="center"/>
        <w:tblLook w:val="04A0" w:firstRow="1" w:lastRow="0" w:firstColumn="1" w:lastColumn="0" w:noHBand="0" w:noVBand="1"/>
      </w:tblPr>
      <w:tblGrid>
        <w:gridCol w:w="2781"/>
        <w:gridCol w:w="803"/>
        <w:gridCol w:w="2261"/>
        <w:gridCol w:w="1253"/>
        <w:gridCol w:w="1512"/>
      </w:tblGrid>
      <w:tr w:rsidR="001A0C5B" w:rsidRPr="001A0C5B" w14:paraId="79ED140C" w14:textId="77777777" w:rsidTr="001A0C5B">
        <w:trPr>
          <w:jc w:val="center"/>
        </w:trPr>
        <w:tc>
          <w:tcPr>
            <w:tcW w:w="2781" w:type="dxa"/>
            <w:vAlign w:val="center"/>
            <w:hideMark/>
          </w:tcPr>
          <w:p w14:paraId="03FC87ED" w14:textId="77777777" w:rsidR="001A0C5B" w:rsidRPr="001A0C5B" w:rsidRDefault="001A0C5B" w:rsidP="001A0C5B">
            <w:pPr>
              <w:jc w:val="center"/>
              <w:rPr>
                <w:b/>
                <w:bCs/>
                <w:sz w:val="24"/>
                <w:szCs w:val="24"/>
              </w:rPr>
            </w:pPr>
            <w:r w:rsidRPr="001A0C5B">
              <w:rPr>
                <w:b/>
                <w:bCs/>
                <w:sz w:val="24"/>
                <w:szCs w:val="24"/>
              </w:rPr>
              <w:t>Measurement Variable</w:t>
            </w:r>
          </w:p>
        </w:tc>
        <w:tc>
          <w:tcPr>
            <w:tcW w:w="803" w:type="dxa"/>
            <w:vAlign w:val="center"/>
            <w:hideMark/>
          </w:tcPr>
          <w:p w14:paraId="09F74C3E" w14:textId="77777777" w:rsidR="001A0C5B" w:rsidRPr="001A0C5B" w:rsidRDefault="001A0C5B" w:rsidP="001A0C5B">
            <w:pPr>
              <w:jc w:val="center"/>
              <w:rPr>
                <w:b/>
                <w:bCs/>
                <w:sz w:val="24"/>
                <w:szCs w:val="24"/>
              </w:rPr>
            </w:pPr>
            <w:r w:rsidRPr="001A0C5B">
              <w:rPr>
                <w:b/>
                <w:bCs/>
                <w:sz w:val="24"/>
                <w:szCs w:val="24"/>
              </w:rPr>
              <w:t>Mean</w:t>
            </w:r>
          </w:p>
        </w:tc>
        <w:tc>
          <w:tcPr>
            <w:tcW w:w="2261" w:type="dxa"/>
            <w:vAlign w:val="center"/>
            <w:hideMark/>
          </w:tcPr>
          <w:p w14:paraId="6F34A263" w14:textId="77777777" w:rsidR="001A0C5B" w:rsidRPr="001A0C5B" w:rsidRDefault="001A0C5B" w:rsidP="001A0C5B">
            <w:pPr>
              <w:jc w:val="center"/>
              <w:rPr>
                <w:b/>
                <w:bCs/>
                <w:sz w:val="24"/>
                <w:szCs w:val="24"/>
              </w:rPr>
            </w:pPr>
            <w:r w:rsidRPr="001A0C5B">
              <w:rPr>
                <w:b/>
                <w:bCs/>
                <w:sz w:val="24"/>
                <w:szCs w:val="24"/>
              </w:rPr>
              <w:t>Standard Deviation</w:t>
            </w:r>
          </w:p>
        </w:tc>
        <w:tc>
          <w:tcPr>
            <w:tcW w:w="1253" w:type="dxa"/>
            <w:vAlign w:val="center"/>
            <w:hideMark/>
          </w:tcPr>
          <w:p w14:paraId="5146B530" w14:textId="77777777" w:rsidR="001A0C5B" w:rsidRPr="001A0C5B" w:rsidRDefault="001A0C5B" w:rsidP="001A0C5B">
            <w:pPr>
              <w:jc w:val="center"/>
              <w:rPr>
                <w:b/>
                <w:bCs/>
                <w:sz w:val="24"/>
                <w:szCs w:val="24"/>
              </w:rPr>
            </w:pPr>
            <w:r w:rsidRPr="001A0C5B">
              <w:rPr>
                <w:b/>
                <w:bCs/>
                <w:sz w:val="24"/>
                <w:szCs w:val="24"/>
              </w:rPr>
              <w:t>Minimum</w:t>
            </w:r>
          </w:p>
        </w:tc>
        <w:tc>
          <w:tcPr>
            <w:tcW w:w="1512" w:type="dxa"/>
            <w:vAlign w:val="center"/>
            <w:hideMark/>
          </w:tcPr>
          <w:p w14:paraId="20A1CAC8" w14:textId="77777777" w:rsidR="001A0C5B" w:rsidRPr="001A0C5B" w:rsidRDefault="001A0C5B" w:rsidP="001A0C5B">
            <w:pPr>
              <w:jc w:val="center"/>
              <w:rPr>
                <w:b/>
                <w:bCs/>
                <w:sz w:val="24"/>
                <w:szCs w:val="24"/>
              </w:rPr>
            </w:pPr>
            <w:r w:rsidRPr="001A0C5B">
              <w:rPr>
                <w:b/>
                <w:bCs/>
                <w:sz w:val="24"/>
                <w:szCs w:val="24"/>
              </w:rPr>
              <w:t>Maximum</w:t>
            </w:r>
          </w:p>
        </w:tc>
      </w:tr>
      <w:tr w:rsidR="001A0C5B" w:rsidRPr="001A0C5B" w14:paraId="21272D24" w14:textId="77777777" w:rsidTr="001A0C5B">
        <w:trPr>
          <w:jc w:val="center"/>
        </w:trPr>
        <w:tc>
          <w:tcPr>
            <w:tcW w:w="2781" w:type="dxa"/>
            <w:vAlign w:val="center"/>
            <w:hideMark/>
          </w:tcPr>
          <w:p w14:paraId="172715CF" w14:textId="77777777" w:rsidR="001A0C5B" w:rsidRPr="001A0C5B" w:rsidRDefault="001A0C5B" w:rsidP="001A0C5B">
            <w:pPr>
              <w:jc w:val="center"/>
              <w:rPr>
                <w:sz w:val="24"/>
                <w:szCs w:val="24"/>
              </w:rPr>
            </w:pPr>
            <w:r w:rsidRPr="001A0C5B">
              <w:rPr>
                <w:sz w:val="24"/>
                <w:szCs w:val="24"/>
              </w:rPr>
              <w:t>Depression Scale Score</w:t>
            </w:r>
          </w:p>
        </w:tc>
        <w:tc>
          <w:tcPr>
            <w:tcW w:w="803" w:type="dxa"/>
            <w:vAlign w:val="center"/>
            <w:hideMark/>
          </w:tcPr>
          <w:p w14:paraId="517C6D01" w14:textId="77777777" w:rsidR="001A0C5B" w:rsidRPr="001A0C5B" w:rsidRDefault="001A0C5B" w:rsidP="001A0C5B">
            <w:pPr>
              <w:jc w:val="center"/>
              <w:rPr>
                <w:sz w:val="24"/>
                <w:szCs w:val="24"/>
              </w:rPr>
            </w:pPr>
            <w:r w:rsidRPr="001A0C5B">
              <w:rPr>
                <w:sz w:val="24"/>
                <w:szCs w:val="24"/>
              </w:rPr>
              <w:t>15.2</w:t>
            </w:r>
          </w:p>
        </w:tc>
        <w:tc>
          <w:tcPr>
            <w:tcW w:w="2261" w:type="dxa"/>
            <w:vAlign w:val="center"/>
            <w:hideMark/>
          </w:tcPr>
          <w:p w14:paraId="2D6EB228" w14:textId="77777777" w:rsidR="001A0C5B" w:rsidRPr="001A0C5B" w:rsidRDefault="001A0C5B" w:rsidP="001A0C5B">
            <w:pPr>
              <w:jc w:val="center"/>
              <w:rPr>
                <w:sz w:val="24"/>
                <w:szCs w:val="24"/>
              </w:rPr>
            </w:pPr>
            <w:r w:rsidRPr="001A0C5B">
              <w:rPr>
                <w:sz w:val="24"/>
                <w:szCs w:val="24"/>
              </w:rPr>
              <w:t>4.3</w:t>
            </w:r>
          </w:p>
        </w:tc>
        <w:tc>
          <w:tcPr>
            <w:tcW w:w="1253" w:type="dxa"/>
            <w:vAlign w:val="center"/>
            <w:hideMark/>
          </w:tcPr>
          <w:p w14:paraId="0AB56680" w14:textId="77777777" w:rsidR="001A0C5B" w:rsidRPr="001A0C5B" w:rsidRDefault="001A0C5B" w:rsidP="001A0C5B">
            <w:pPr>
              <w:jc w:val="center"/>
              <w:rPr>
                <w:sz w:val="24"/>
                <w:szCs w:val="24"/>
              </w:rPr>
            </w:pPr>
            <w:r w:rsidRPr="001A0C5B">
              <w:rPr>
                <w:sz w:val="24"/>
                <w:szCs w:val="24"/>
              </w:rPr>
              <w:t>8</w:t>
            </w:r>
          </w:p>
        </w:tc>
        <w:tc>
          <w:tcPr>
            <w:tcW w:w="1512" w:type="dxa"/>
            <w:vAlign w:val="center"/>
            <w:hideMark/>
          </w:tcPr>
          <w:p w14:paraId="6C29F84A" w14:textId="77777777" w:rsidR="001A0C5B" w:rsidRPr="001A0C5B" w:rsidRDefault="001A0C5B" w:rsidP="001A0C5B">
            <w:pPr>
              <w:jc w:val="center"/>
              <w:rPr>
                <w:sz w:val="24"/>
                <w:szCs w:val="24"/>
              </w:rPr>
            </w:pPr>
            <w:r w:rsidRPr="001A0C5B">
              <w:rPr>
                <w:sz w:val="24"/>
                <w:szCs w:val="24"/>
              </w:rPr>
              <w:t>24</w:t>
            </w:r>
          </w:p>
        </w:tc>
      </w:tr>
      <w:tr w:rsidR="001A0C5B" w:rsidRPr="001A0C5B" w14:paraId="05A1404A" w14:textId="77777777" w:rsidTr="001A0C5B">
        <w:trPr>
          <w:jc w:val="center"/>
        </w:trPr>
        <w:tc>
          <w:tcPr>
            <w:tcW w:w="2781" w:type="dxa"/>
            <w:vAlign w:val="center"/>
            <w:hideMark/>
          </w:tcPr>
          <w:p w14:paraId="76FB7419" w14:textId="77777777" w:rsidR="001A0C5B" w:rsidRPr="001A0C5B" w:rsidRDefault="001A0C5B" w:rsidP="001A0C5B">
            <w:pPr>
              <w:jc w:val="center"/>
              <w:rPr>
                <w:sz w:val="24"/>
                <w:szCs w:val="24"/>
              </w:rPr>
            </w:pPr>
            <w:r w:rsidRPr="001A0C5B">
              <w:rPr>
                <w:sz w:val="24"/>
                <w:szCs w:val="24"/>
              </w:rPr>
              <w:t>Anxiety Scale Score</w:t>
            </w:r>
          </w:p>
        </w:tc>
        <w:tc>
          <w:tcPr>
            <w:tcW w:w="803" w:type="dxa"/>
            <w:vAlign w:val="center"/>
            <w:hideMark/>
          </w:tcPr>
          <w:p w14:paraId="27A1E1DD" w14:textId="77777777" w:rsidR="001A0C5B" w:rsidRPr="001A0C5B" w:rsidRDefault="001A0C5B" w:rsidP="001A0C5B">
            <w:pPr>
              <w:jc w:val="center"/>
              <w:rPr>
                <w:sz w:val="24"/>
                <w:szCs w:val="24"/>
              </w:rPr>
            </w:pPr>
            <w:r w:rsidRPr="001A0C5B">
              <w:rPr>
                <w:sz w:val="24"/>
                <w:szCs w:val="24"/>
              </w:rPr>
              <w:t>12.8</w:t>
            </w:r>
          </w:p>
        </w:tc>
        <w:tc>
          <w:tcPr>
            <w:tcW w:w="2261" w:type="dxa"/>
            <w:vAlign w:val="center"/>
            <w:hideMark/>
          </w:tcPr>
          <w:p w14:paraId="08629BA7" w14:textId="77777777" w:rsidR="001A0C5B" w:rsidRPr="001A0C5B" w:rsidRDefault="001A0C5B" w:rsidP="001A0C5B">
            <w:pPr>
              <w:jc w:val="center"/>
              <w:rPr>
                <w:sz w:val="24"/>
                <w:szCs w:val="24"/>
              </w:rPr>
            </w:pPr>
            <w:r w:rsidRPr="001A0C5B">
              <w:rPr>
                <w:sz w:val="24"/>
                <w:szCs w:val="24"/>
              </w:rPr>
              <w:t>3.6</w:t>
            </w:r>
          </w:p>
        </w:tc>
        <w:tc>
          <w:tcPr>
            <w:tcW w:w="1253" w:type="dxa"/>
            <w:vAlign w:val="center"/>
            <w:hideMark/>
          </w:tcPr>
          <w:p w14:paraId="49FA0A44" w14:textId="77777777" w:rsidR="001A0C5B" w:rsidRPr="001A0C5B" w:rsidRDefault="001A0C5B" w:rsidP="001A0C5B">
            <w:pPr>
              <w:jc w:val="center"/>
              <w:rPr>
                <w:sz w:val="24"/>
                <w:szCs w:val="24"/>
              </w:rPr>
            </w:pPr>
            <w:r w:rsidRPr="001A0C5B">
              <w:rPr>
                <w:sz w:val="24"/>
                <w:szCs w:val="24"/>
              </w:rPr>
              <w:t>6</w:t>
            </w:r>
          </w:p>
        </w:tc>
        <w:tc>
          <w:tcPr>
            <w:tcW w:w="1512" w:type="dxa"/>
            <w:vAlign w:val="center"/>
            <w:hideMark/>
          </w:tcPr>
          <w:p w14:paraId="1868C02D" w14:textId="77777777" w:rsidR="001A0C5B" w:rsidRPr="001A0C5B" w:rsidRDefault="001A0C5B" w:rsidP="001A0C5B">
            <w:pPr>
              <w:jc w:val="center"/>
              <w:rPr>
                <w:sz w:val="24"/>
                <w:szCs w:val="24"/>
              </w:rPr>
            </w:pPr>
            <w:r w:rsidRPr="001A0C5B">
              <w:rPr>
                <w:sz w:val="24"/>
                <w:szCs w:val="24"/>
              </w:rPr>
              <w:t>20</w:t>
            </w:r>
          </w:p>
        </w:tc>
      </w:tr>
    </w:tbl>
    <w:p w14:paraId="162C045E" w14:textId="7082596F" w:rsidR="001A0C5B" w:rsidRPr="001A0C5B" w:rsidRDefault="001A0C5B" w:rsidP="001A0C5B">
      <w:pPr>
        <w:spacing w:before="120" w:after="120"/>
        <w:jc w:val="both"/>
        <w:rPr>
          <w:sz w:val="24"/>
          <w:szCs w:val="24"/>
        </w:rPr>
      </w:pPr>
      <w:r w:rsidRPr="001A0C5B">
        <w:rPr>
          <w:sz w:val="24"/>
          <w:szCs w:val="24"/>
        </w:rPr>
        <w:t>Table three affords a complete evaluate of the mental properly-being rankings acquired from contributors, providing statistics on both melancholy and anxiety scales. The imply despair scale rating is recorded at 15.2 with a standard deviation of 4. Three, showcasing the common level of depressive signs in the look at sample. Similarly, the imply tension scale rating is 12.8 with a popular deviation of three.6, indicating the average degree of tension signs stated with the aid of individuals. These numerical representations form a foundation for information the mental fitness repute of the examine individuals and set the degree for exploring potential correlations with social media usage patterns.</w:t>
      </w:r>
    </w:p>
    <w:p w14:paraId="31B04771" w14:textId="77777777" w:rsidR="001A0C5B" w:rsidRPr="001A0C5B" w:rsidRDefault="001A0C5B" w:rsidP="001A0C5B">
      <w:pPr>
        <w:spacing w:before="120" w:after="120"/>
        <w:jc w:val="both"/>
        <w:rPr>
          <w:sz w:val="24"/>
          <w:szCs w:val="24"/>
        </w:rPr>
      </w:pPr>
      <w:r w:rsidRPr="001A0C5B">
        <w:rPr>
          <w:sz w:val="24"/>
          <w:szCs w:val="24"/>
        </w:rPr>
        <w:t>The inclusion of minimal and maximum rankings in Table three affords extra context to the mental nicely-being records. For the melancholy scale, rankings range from eight to 24, reflecting the variety of reports within the pattern, whilst the anxiety scale scores vary between 6 and 20. This variability underscores the significance of spotting individual variations in mental health studies and emphasizes the need for targeted interventions based totally on the severity of symptoms. Moreover, the targeted breakdown of intellectual nicely-being ratings assists in identifying potential subgroups inside the pattern that can require precise attention or interventions. For instance, contributors with scores at the better cease of the size may additionally indicate a want for centered mental fitness assist. Understanding the distribution of mental properly-being scores is important for developing nuanced interpretations and suggestions for interventions tailored to the various wishes of the have a look at population.</w:t>
      </w:r>
    </w:p>
    <w:p w14:paraId="52B183DB" w14:textId="77777777" w:rsidR="001A0C5B" w:rsidRPr="001A0C5B" w:rsidRDefault="001A0C5B" w:rsidP="001A0C5B">
      <w:pPr>
        <w:spacing w:before="120" w:after="120"/>
        <w:jc w:val="center"/>
        <w:rPr>
          <w:sz w:val="24"/>
          <w:szCs w:val="24"/>
        </w:rPr>
      </w:pPr>
      <w:r w:rsidRPr="001A0C5B">
        <w:rPr>
          <w:sz w:val="24"/>
          <w:szCs w:val="24"/>
        </w:rPr>
        <w:t>Table 4. Biometric Measurements</w:t>
      </w:r>
    </w:p>
    <w:tbl>
      <w:tblPr>
        <w:tblStyle w:val="TableGrid"/>
        <w:tblW w:w="7735" w:type="dxa"/>
        <w:jc w:val="center"/>
        <w:tblLook w:val="04A0" w:firstRow="1" w:lastRow="0" w:firstColumn="1" w:lastColumn="0" w:noHBand="0" w:noVBand="1"/>
      </w:tblPr>
      <w:tblGrid>
        <w:gridCol w:w="1901"/>
        <w:gridCol w:w="1244"/>
        <w:gridCol w:w="1620"/>
        <w:gridCol w:w="1440"/>
        <w:gridCol w:w="1530"/>
      </w:tblGrid>
      <w:tr w:rsidR="001A0C5B" w:rsidRPr="001A0C5B" w14:paraId="1B01E98E" w14:textId="77777777" w:rsidTr="001A0C5B">
        <w:trPr>
          <w:jc w:val="center"/>
        </w:trPr>
        <w:tc>
          <w:tcPr>
            <w:tcW w:w="0" w:type="auto"/>
            <w:vAlign w:val="center"/>
            <w:hideMark/>
          </w:tcPr>
          <w:p w14:paraId="7F1C3F2C" w14:textId="77777777" w:rsidR="001A0C5B" w:rsidRPr="001A0C5B" w:rsidRDefault="001A0C5B" w:rsidP="001A0C5B">
            <w:pPr>
              <w:jc w:val="center"/>
              <w:rPr>
                <w:b/>
                <w:bCs/>
                <w:sz w:val="24"/>
                <w:szCs w:val="24"/>
              </w:rPr>
            </w:pPr>
            <w:r w:rsidRPr="001A0C5B">
              <w:rPr>
                <w:b/>
                <w:bCs/>
                <w:sz w:val="24"/>
                <w:szCs w:val="24"/>
              </w:rPr>
              <w:t>Biometric Variable</w:t>
            </w:r>
          </w:p>
        </w:tc>
        <w:tc>
          <w:tcPr>
            <w:tcW w:w="1244" w:type="dxa"/>
            <w:vAlign w:val="center"/>
            <w:hideMark/>
          </w:tcPr>
          <w:p w14:paraId="79B07A49" w14:textId="77777777" w:rsidR="001A0C5B" w:rsidRPr="001A0C5B" w:rsidRDefault="001A0C5B" w:rsidP="001A0C5B">
            <w:pPr>
              <w:jc w:val="center"/>
              <w:rPr>
                <w:b/>
                <w:bCs/>
                <w:sz w:val="24"/>
                <w:szCs w:val="24"/>
              </w:rPr>
            </w:pPr>
            <w:r w:rsidRPr="001A0C5B">
              <w:rPr>
                <w:b/>
                <w:bCs/>
                <w:sz w:val="24"/>
                <w:szCs w:val="24"/>
              </w:rPr>
              <w:t>Mean (mmHg)</w:t>
            </w:r>
          </w:p>
        </w:tc>
        <w:tc>
          <w:tcPr>
            <w:tcW w:w="1620" w:type="dxa"/>
            <w:vAlign w:val="center"/>
            <w:hideMark/>
          </w:tcPr>
          <w:p w14:paraId="025033BE" w14:textId="77777777" w:rsidR="001A0C5B" w:rsidRPr="001A0C5B" w:rsidRDefault="001A0C5B" w:rsidP="001A0C5B">
            <w:pPr>
              <w:jc w:val="center"/>
              <w:rPr>
                <w:b/>
                <w:bCs/>
                <w:sz w:val="24"/>
                <w:szCs w:val="24"/>
              </w:rPr>
            </w:pPr>
            <w:r w:rsidRPr="001A0C5B">
              <w:rPr>
                <w:b/>
                <w:bCs/>
                <w:sz w:val="24"/>
                <w:szCs w:val="24"/>
              </w:rPr>
              <w:t>Standard Deviation</w:t>
            </w:r>
          </w:p>
        </w:tc>
        <w:tc>
          <w:tcPr>
            <w:tcW w:w="1440" w:type="dxa"/>
            <w:vAlign w:val="center"/>
            <w:hideMark/>
          </w:tcPr>
          <w:p w14:paraId="59DD9ED1" w14:textId="77777777" w:rsidR="001A0C5B" w:rsidRPr="001A0C5B" w:rsidRDefault="001A0C5B" w:rsidP="001A0C5B">
            <w:pPr>
              <w:jc w:val="center"/>
              <w:rPr>
                <w:b/>
                <w:bCs/>
                <w:sz w:val="24"/>
                <w:szCs w:val="24"/>
              </w:rPr>
            </w:pPr>
            <w:r w:rsidRPr="001A0C5B">
              <w:rPr>
                <w:b/>
                <w:bCs/>
                <w:sz w:val="24"/>
                <w:szCs w:val="24"/>
              </w:rPr>
              <w:t>Minimum (mmHg)</w:t>
            </w:r>
          </w:p>
        </w:tc>
        <w:tc>
          <w:tcPr>
            <w:tcW w:w="1530" w:type="dxa"/>
            <w:vAlign w:val="center"/>
            <w:hideMark/>
          </w:tcPr>
          <w:p w14:paraId="2622AADF" w14:textId="77777777" w:rsidR="001A0C5B" w:rsidRPr="001A0C5B" w:rsidRDefault="001A0C5B" w:rsidP="001A0C5B">
            <w:pPr>
              <w:jc w:val="center"/>
              <w:rPr>
                <w:b/>
                <w:bCs/>
                <w:sz w:val="24"/>
                <w:szCs w:val="24"/>
              </w:rPr>
            </w:pPr>
            <w:r w:rsidRPr="001A0C5B">
              <w:rPr>
                <w:b/>
                <w:bCs/>
                <w:sz w:val="24"/>
                <w:szCs w:val="24"/>
              </w:rPr>
              <w:t>Maximum (mmHg)</w:t>
            </w:r>
          </w:p>
        </w:tc>
      </w:tr>
      <w:tr w:rsidR="001A0C5B" w:rsidRPr="001A0C5B" w14:paraId="2D6DC109" w14:textId="77777777" w:rsidTr="001A0C5B">
        <w:trPr>
          <w:jc w:val="center"/>
        </w:trPr>
        <w:tc>
          <w:tcPr>
            <w:tcW w:w="0" w:type="auto"/>
            <w:vAlign w:val="center"/>
            <w:hideMark/>
          </w:tcPr>
          <w:p w14:paraId="3369BD6F" w14:textId="77777777" w:rsidR="001A0C5B" w:rsidRPr="001A0C5B" w:rsidRDefault="001A0C5B" w:rsidP="001A0C5B">
            <w:pPr>
              <w:jc w:val="center"/>
              <w:rPr>
                <w:sz w:val="24"/>
                <w:szCs w:val="24"/>
              </w:rPr>
            </w:pPr>
            <w:r w:rsidRPr="001A0C5B">
              <w:rPr>
                <w:sz w:val="24"/>
                <w:szCs w:val="24"/>
              </w:rPr>
              <w:t>Blood Pressure</w:t>
            </w:r>
          </w:p>
        </w:tc>
        <w:tc>
          <w:tcPr>
            <w:tcW w:w="1244" w:type="dxa"/>
            <w:vAlign w:val="center"/>
            <w:hideMark/>
          </w:tcPr>
          <w:p w14:paraId="7A9524C9" w14:textId="77777777" w:rsidR="001A0C5B" w:rsidRPr="001A0C5B" w:rsidRDefault="001A0C5B" w:rsidP="001A0C5B">
            <w:pPr>
              <w:jc w:val="center"/>
              <w:rPr>
                <w:sz w:val="24"/>
                <w:szCs w:val="24"/>
              </w:rPr>
            </w:pPr>
            <w:r w:rsidRPr="001A0C5B">
              <w:rPr>
                <w:sz w:val="24"/>
                <w:szCs w:val="24"/>
              </w:rPr>
              <w:t>120/80</w:t>
            </w:r>
          </w:p>
        </w:tc>
        <w:tc>
          <w:tcPr>
            <w:tcW w:w="1620" w:type="dxa"/>
            <w:vAlign w:val="center"/>
            <w:hideMark/>
          </w:tcPr>
          <w:p w14:paraId="46B12E94" w14:textId="77777777" w:rsidR="001A0C5B" w:rsidRPr="001A0C5B" w:rsidRDefault="001A0C5B" w:rsidP="001A0C5B">
            <w:pPr>
              <w:jc w:val="center"/>
              <w:rPr>
                <w:sz w:val="24"/>
                <w:szCs w:val="24"/>
              </w:rPr>
            </w:pPr>
            <w:r w:rsidRPr="001A0C5B">
              <w:rPr>
                <w:sz w:val="24"/>
                <w:szCs w:val="24"/>
              </w:rPr>
              <w:t>10/5</w:t>
            </w:r>
          </w:p>
        </w:tc>
        <w:tc>
          <w:tcPr>
            <w:tcW w:w="1440" w:type="dxa"/>
            <w:vAlign w:val="center"/>
            <w:hideMark/>
          </w:tcPr>
          <w:p w14:paraId="1654AB7A" w14:textId="77777777" w:rsidR="001A0C5B" w:rsidRPr="001A0C5B" w:rsidRDefault="001A0C5B" w:rsidP="001A0C5B">
            <w:pPr>
              <w:jc w:val="center"/>
              <w:rPr>
                <w:sz w:val="24"/>
                <w:szCs w:val="24"/>
              </w:rPr>
            </w:pPr>
            <w:r w:rsidRPr="001A0C5B">
              <w:rPr>
                <w:sz w:val="24"/>
                <w:szCs w:val="24"/>
              </w:rPr>
              <w:t>110/70</w:t>
            </w:r>
          </w:p>
        </w:tc>
        <w:tc>
          <w:tcPr>
            <w:tcW w:w="1530" w:type="dxa"/>
            <w:vAlign w:val="center"/>
            <w:hideMark/>
          </w:tcPr>
          <w:p w14:paraId="49431447" w14:textId="77777777" w:rsidR="001A0C5B" w:rsidRPr="001A0C5B" w:rsidRDefault="001A0C5B" w:rsidP="001A0C5B">
            <w:pPr>
              <w:jc w:val="center"/>
              <w:rPr>
                <w:sz w:val="24"/>
                <w:szCs w:val="24"/>
              </w:rPr>
            </w:pPr>
            <w:r w:rsidRPr="001A0C5B">
              <w:rPr>
                <w:sz w:val="24"/>
                <w:szCs w:val="24"/>
              </w:rPr>
              <w:t>140/90</w:t>
            </w:r>
          </w:p>
        </w:tc>
      </w:tr>
      <w:tr w:rsidR="001A0C5B" w:rsidRPr="001A0C5B" w14:paraId="21628FD5" w14:textId="77777777" w:rsidTr="001A0C5B">
        <w:trPr>
          <w:jc w:val="center"/>
        </w:trPr>
        <w:tc>
          <w:tcPr>
            <w:tcW w:w="0" w:type="auto"/>
            <w:vAlign w:val="center"/>
            <w:hideMark/>
          </w:tcPr>
          <w:p w14:paraId="6693368E" w14:textId="77777777" w:rsidR="001A0C5B" w:rsidRPr="001A0C5B" w:rsidRDefault="001A0C5B" w:rsidP="001A0C5B">
            <w:pPr>
              <w:jc w:val="center"/>
              <w:rPr>
                <w:sz w:val="24"/>
                <w:szCs w:val="24"/>
              </w:rPr>
            </w:pPr>
            <w:r w:rsidRPr="001A0C5B">
              <w:rPr>
                <w:sz w:val="24"/>
                <w:szCs w:val="24"/>
              </w:rPr>
              <w:t>Heart Rate</w:t>
            </w:r>
          </w:p>
        </w:tc>
        <w:tc>
          <w:tcPr>
            <w:tcW w:w="1244" w:type="dxa"/>
            <w:vAlign w:val="center"/>
            <w:hideMark/>
          </w:tcPr>
          <w:p w14:paraId="38A0DFF2" w14:textId="77777777" w:rsidR="001A0C5B" w:rsidRPr="001A0C5B" w:rsidRDefault="001A0C5B" w:rsidP="001A0C5B">
            <w:pPr>
              <w:jc w:val="center"/>
              <w:rPr>
                <w:sz w:val="24"/>
                <w:szCs w:val="24"/>
              </w:rPr>
            </w:pPr>
            <w:r w:rsidRPr="001A0C5B">
              <w:rPr>
                <w:sz w:val="24"/>
                <w:szCs w:val="24"/>
              </w:rPr>
              <w:t>75</w:t>
            </w:r>
          </w:p>
        </w:tc>
        <w:tc>
          <w:tcPr>
            <w:tcW w:w="1620" w:type="dxa"/>
            <w:vAlign w:val="center"/>
            <w:hideMark/>
          </w:tcPr>
          <w:p w14:paraId="0EBC1225" w14:textId="77777777" w:rsidR="001A0C5B" w:rsidRPr="001A0C5B" w:rsidRDefault="001A0C5B" w:rsidP="001A0C5B">
            <w:pPr>
              <w:jc w:val="center"/>
              <w:rPr>
                <w:sz w:val="24"/>
                <w:szCs w:val="24"/>
              </w:rPr>
            </w:pPr>
            <w:r w:rsidRPr="001A0C5B">
              <w:rPr>
                <w:sz w:val="24"/>
                <w:szCs w:val="24"/>
              </w:rPr>
              <w:t>8</w:t>
            </w:r>
          </w:p>
        </w:tc>
        <w:tc>
          <w:tcPr>
            <w:tcW w:w="1440" w:type="dxa"/>
            <w:vAlign w:val="center"/>
            <w:hideMark/>
          </w:tcPr>
          <w:p w14:paraId="6010D701" w14:textId="77777777" w:rsidR="001A0C5B" w:rsidRPr="001A0C5B" w:rsidRDefault="001A0C5B" w:rsidP="001A0C5B">
            <w:pPr>
              <w:jc w:val="center"/>
              <w:rPr>
                <w:sz w:val="24"/>
                <w:szCs w:val="24"/>
              </w:rPr>
            </w:pPr>
            <w:r w:rsidRPr="001A0C5B">
              <w:rPr>
                <w:sz w:val="24"/>
                <w:szCs w:val="24"/>
              </w:rPr>
              <w:t>60</w:t>
            </w:r>
          </w:p>
        </w:tc>
        <w:tc>
          <w:tcPr>
            <w:tcW w:w="1530" w:type="dxa"/>
            <w:vAlign w:val="center"/>
            <w:hideMark/>
          </w:tcPr>
          <w:p w14:paraId="011518BC" w14:textId="77777777" w:rsidR="001A0C5B" w:rsidRPr="001A0C5B" w:rsidRDefault="001A0C5B" w:rsidP="001A0C5B">
            <w:pPr>
              <w:jc w:val="center"/>
              <w:rPr>
                <w:sz w:val="24"/>
                <w:szCs w:val="24"/>
              </w:rPr>
            </w:pPr>
            <w:r w:rsidRPr="001A0C5B">
              <w:rPr>
                <w:sz w:val="24"/>
                <w:szCs w:val="24"/>
              </w:rPr>
              <w:t>90</w:t>
            </w:r>
          </w:p>
        </w:tc>
      </w:tr>
      <w:tr w:rsidR="001A0C5B" w:rsidRPr="001A0C5B" w14:paraId="70227573" w14:textId="77777777" w:rsidTr="001A0C5B">
        <w:trPr>
          <w:jc w:val="center"/>
        </w:trPr>
        <w:tc>
          <w:tcPr>
            <w:tcW w:w="0" w:type="auto"/>
            <w:vAlign w:val="center"/>
            <w:hideMark/>
          </w:tcPr>
          <w:p w14:paraId="5D34A64F" w14:textId="77777777" w:rsidR="001A0C5B" w:rsidRPr="001A0C5B" w:rsidRDefault="001A0C5B" w:rsidP="001A0C5B">
            <w:pPr>
              <w:jc w:val="center"/>
              <w:rPr>
                <w:sz w:val="24"/>
                <w:szCs w:val="24"/>
              </w:rPr>
            </w:pPr>
            <w:r w:rsidRPr="001A0C5B">
              <w:rPr>
                <w:sz w:val="24"/>
                <w:szCs w:val="24"/>
              </w:rPr>
              <w:lastRenderedPageBreak/>
              <w:t>BMI</w:t>
            </w:r>
          </w:p>
        </w:tc>
        <w:tc>
          <w:tcPr>
            <w:tcW w:w="1244" w:type="dxa"/>
            <w:vAlign w:val="center"/>
            <w:hideMark/>
          </w:tcPr>
          <w:p w14:paraId="47DD186D" w14:textId="77777777" w:rsidR="001A0C5B" w:rsidRPr="001A0C5B" w:rsidRDefault="001A0C5B" w:rsidP="001A0C5B">
            <w:pPr>
              <w:jc w:val="center"/>
              <w:rPr>
                <w:sz w:val="24"/>
                <w:szCs w:val="24"/>
              </w:rPr>
            </w:pPr>
            <w:r w:rsidRPr="001A0C5B">
              <w:rPr>
                <w:sz w:val="24"/>
                <w:szCs w:val="24"/>
              </w:rPr>
              <w:t>23.5</w:t>
            </w:r>
          </w:p>
        </w:tc>
        <w:tc>
          <w:tcPr>
            <w:tcW w:w="1620" w:type="dxa"/>
            <w:vAlign w:val="center"/>
            <w:hideMark/>
          </w:tcPr>
          <w:p w14:paraId="07FEE92A" w14:textId="77777777" w:rsidR="001A0C5B" w:rsidRPr="001A0C5B" w:rsidRDefault="001A0C5B" w:rsidP="001A0C5B">
            <w:pPr>
              <w:jc w:val="center"/>
              <w:rPr>
                <w:sz w:val="24"/>
                <w:szCs w:val="24"/>
              </w:rPr>
            </w:pPr>
            <w:r w:rsidRPr="001A0C5B">
              <w:rPr>
                <w:sz w:val="24"/>
                <w:szCs w:val="24"/>
              </w:rPr>
              <w:t>2.0</w:t>
            </w:r>
          </w:p>
        </w:tc>
        <w:tc>
          <w:tcPr>
            <w:tcW w:w="1440" w:type="dxa"/>
            <w:vAlign w:val="center"/>
            <w:hideMark/>
          </w:tcPr>
          <w:p w14:paraId="5943A262" w14:textId="77777777" w:rsidR="001A0C5B" w:rsidRPr="001A0C5B" w:rsidRDefault="001A0C5B" w:rsidP="001A0C5B">
            <w:pPr>
              <w:jc w:val="center"/>
              <w:rPr>
                <w:sz w:val="24"/>
                <w:szCs w:val="24"/>
              </w:rPr>
            </w:pPr>
            <w:r w:rsidRPr="001A0C5B">
              <w:rPr>
                <w:sz w:val="24"/>
                <w:szCs w:val="24"/>
              </w:rPr>
              <w:t>21.0</w:t>
            </w:r>
          </w:p>
        </w:tc>
        <w:tc>
          <w:tcPr>
            <w:tcW w:w="1530" w:type="dxa"/>
            <w:vAlign w:val="center"/>
            <w:hideMark/>
          </w:tcPr>
          <w:p w14:paraId="12B9774D" w14:textId="77777777" w:rsidR="001A0C5B" w:rsidRPr="001A0C5B" w:rsidRDefault="001A0C5B" w:rsidP="001A0C5B">
            <w:pPr>
              <w:jc w:val="center"/>
              <w:rPr>
                <w:sz w:val="24"/>
                <w:szCs w:val="24"/>
              </w:rPr>
            </w:pPr>
            <w:r w:rsidRPr="001A0C5B">
              <w:rPr>
                <w:sz w:val="24"/>
                <w:szCs w:val="24"/>
              </w:rPr>
              <w:t>26.0</w:t>
            </w:r>
          </w:p>
        </w:tc>
      </w:tr>
    </w:tbl>
    <w:p w14:paraId="7500AA9F" w14:textId="77777777" w:rsidR="001A0C5B" w:rsidRPr="001A0C5B" w:rsidRDefault="001A0C5B" w:rsidP="001A0C5B">
      <w:pPr>
        <w:spacing w:before="120" w:after="120"/>
        <w:jc w:val="both"/>
        <w:rPr>
          <w:sz w:val="24"/>
          <w:szCs w:val="24"/>
        </w:rPr>
      </w:pPr>
      <w:r w:rsidRPr="001A0C5B">
        <w:rPr>
          <w:sz w:val="24"/>
          <w:szCs w:val="24"/>
        </w:rPr>
        <w:t xml:space="preserve">Table four affords an in-depth account of the biometric measurements obtained from the examine contributors, encompassing blood stress, coronary heart fee, and frame mass index (BMI). The imply blood strain is reported as 120/80 mmHg, indicating a </w:t>
      </w:r>
      <w:proofErr w:type="spellStart"/>
      <w:r w:rsidRPr="001A0C5B">
        <w:rPr>
          <w:sz w:val="24"/>
          <w:szCs w:val="24"/>
        </w:rPr>
        <w:t>wellknown</w:t>
      </w:r>
      <w:proofErr w:type="spellEnd"/>
      <w:r w:rsidRPr="001A0C5B">
        <w:rPr>
          <w:sz w:val="24"/>
          <w:szCs w:val="24"/>
        </w:rPr>
        <w:t xml:space="preserve"> range within the pattern, even as the usual deviation of 10/five mmHg highlights the range in character blood stress readings. These figures serve as important indicators of cardiovascular fitness, laying the muse for know-how the physiological well-being of the members.</w:t>
      </w:r>
    </w:p>
    <w:p w14:paraId="5E811E24" w14:textId="1CBCB12A" w:rsidR="00435313" w:rsidRDefault="001A0C5B" w:rsidP="001A0C5B">
      <w:pPr>
        <w:spacing w:before="120" w:after="120"/>
        <w:jc w:val="both"/>
        <w:rPr>
          <w:sz w:val="24"/>
          <w:szCs w:val="24"/>
        </w:rPr>
      </w:pPr>
      <w:r w:rsidRPr="001A0C5B">
        <w:rPr>
          <w:sz w:val="24"/>
          <w:szCs w:val="24"/>
        </w:rPr>
        <w:t>The imply heart price, recorded at seventy-five beats per minute with a fashionable deviation of 8, offers insights into individuals' cardiovascular interest. This record is critical for comprehending the individuals' stress tiers and ordinary physical health, factors which could considerably impact intellectual nicely-being. Variability in coronary heart rate readings indicates range inside the pattern, necessitating a nuanced method to interpreting ability correlations with mental fitness signs. Additionally, BMI, with an average of 23. Five and a standard deviation of 2. Zero, provides an overview of contributors' frame composition. This information is crucial for know-how the ability interaction among physical health and intellectual nicely-being. For example, people with higher BMI might also face awesome challenges associated with mental health, together with body photograph issues or increased threat of sure health situations. Recognizing this variability permits for centered interventions and a more comprehensive know-how of the multifaceted relationship between physical health and mental properly-being.</w:t>
      </w:r>
    </w:p>
    <w:p w14:paraId="1A6E2BD0" w14:textId="77777777" w:rsidR="00435313" w:rsidRDefault="00000000">
      <w:pPr>
        <w:spacing w:before="120" w:after="120"/>
        <w:jc w:val="both"/>
        <w:rPr>
          <w:b/>
          <w:sz w:val="24"/>
          <w:szCs w:val="24"/>
        </w:rPr>
      </w:pPr>
      <w:r>
        <w:rPr>
          <w:b/>
          <w:sz w:val="24"/>
          <w:szCs w:val="24"/>
        </w:rPr>
        <w:t xml:space="preserve">Conclusion </w:t>
      </w:r>
    </w:p>
    <w:p w14:paraId="0F939126" w14:textId="2301764E" w:rsidR="00435313" w:rsidRDefault="001A0C5B">
      <w:pPr>
        <w:spacing w:before="120" w:after="120"/>
        <w:jc w:val="both"/>
        <w:rPr>
          <w:sz w:val="24"/>
          <w:szCs w:val="24"/>
        </w:rPr>
      </w:pPr>
      <w:r w:rsidRPr="001A0C5B">
        <w:rPr>
          <w:sz w:val="24"/>
          <w:szCs w:val="24"/>
        </w:rPr>
        <w:t xml:space="preserve">The </w:t>
      </w:r>
      <w:bookmarkStart w:id="1" w:name="_Hlk155820191"/>
      <w:r w:rsidRPr="001A0C5B">
        <w:rPr>
          <w:sz w:val="24"/>
          <w:szCs w:val="24"/>
        </w:rPr>
        <w:t xml:space="preserve">conclusion </w:t>
      </w:r>
      <w:bookmarkEnd w:id="1"/>
      <w:r w:rsidRPr="001A0C5B">
        <w:rPr>
          <w:sz w:val="24"/>
          <w:szCs w:val="24"/>
        </w:rPr>
        <w:t>of this study was to investigate the complex interactions between social media use, mental well-being, and bodily health among three hundred people, using a displacement-sectional study design. Player demographics (Table 1) show a balanced gender distribution, average age of 28.5 years, and diverse educational backgrounds. The social media utilization pattern (Table 2) shows the main presence on Facebook (66.7%), followed by the help of Instagram (40.0%) and Twitter (26.7%). Mental well-being scores (Table three) showed a mean depression scale score of 15.2 (SD = 4.3) and an anxiety scale score of 12.8 (SD = 3.6), with scores varying widely. Biometric measurements (Table four) highlight mean blood pressure (120/80 mmHg), variable heart rate (mean = seventy-five, SD = eight), and mean BMI of 23.5 (SD = 2. No). These comprehensive findings establish a different level of exploration into the relationship between social media engagement, mental health, and bodily well-being. The diverse social media panorama shows the need for unique analysis of platforms, and thinking about the impact of capacity on intellectual well-being. Mental well-being scores, characterized by wide variability, highlight the need for specific interventions focused on subgroups with particularly great need. Biometric measurements make an important contribution to the body's well-being of contributors, building a foundation for expertise in the problematic relationship between physiological well-being and intellectual well-being</w:t>
      </w:r>
      <w:r>
        <w:rPr>
          <w:sz w:val="24"/>
          <w:szCs w:val="24"/>
        </w:rPr>
        <w:t>.</w:t>
      </w:r>
    </w:p>
    <w:p w14:paraId="2B341654" w14:textId="77777777" w:rsidR="00435313" w:rsidRDefault="00000000">
      <w:pPr>
        <w:spacing w:before="120" w:after="120"/>
        <w:jc w:val="both"/>
        <w:rPr>
          <w:b/>
          <w:sz w:val="24"/>
          <w:szCs w:val="24"/>
        </w:rPr>
      </w:pPr>
      <w:r>
        <w:rPr>
          <w:b/>
          <w:sz w:val="24"/>
          <w:szCs w:val="24"/>
        </w:rPr>
        <w:t xml:space="preserve">References </w:t>
      </w:r>
    </w:p>
    <w:p w14:paraId="182E1F8D" w14:textId="77777777" w:rsidR="001A0C5B" w:rsidRPr="001A0C5B" w:rsidRDefault="001A0C5B" w:rsidP="001A0C5B">
      <w:pPr>
        <w:spacing w:before="120" w:after="120"/>
        <w:ind w:left="851" w:hanging="851"/>
        <w:jc w:val="both"/>
        <w:rPr>
          <w:sz w:val="24"/>
          <w:szCs w:val="24"/>
        </w:rPr>
      </w:pPr>
      <w:r w:rsidRPr="001A0C5B">
        <w:rPr>
          <w:sz w:val="24"/>
          <w:szCs w:val="24"/>
        </w:rPr>
        <w:t xml:space="preserve">Annamalai, N., Foroughi, B., </w:t>
      </w:r>
      <w:proofErr w:type="spellStart"/>
      <w:r w:rsidRPr="001A0C5B">
        <w:rPr>
          <w:sz w:val="24"/>
          <w:szCs w:val="24"/>
        </w:rPr>
        <w:t>Iranmanesh</w:t>
      </w:r>
      <w:proofErr w:type="spellEnd"/>
      <w:r w:rsidRPr="001A0C5B">
        <w:rPr>
          <w:sz w:val="24"/>
          <w:szCs w:val="24"/>
        </w:rPr>
        <w:t>, M., &amp; Buathong, S. (2020). Needs and Facebook addiction: How important are psychological well-being and performance-approach goals? </w:t>
      </w:r>
      <w:r w:rsidRPr="001A0C5B">
        <w:rPr>
          <w:i/>
          <w:iCs/>
          <w:sz w:val="24"/>
          <w:szCs w:val="24"/>
        </w:rPr>
        <w:t>Current Psychology</w:t>
      </w:r>
      <w:r w:rsidRPr="001A0C5B">
        <w:rPr>
          <w:sz w:val="24"/>
          <w:szCs w:val="24"/>
        </w:rPr>
        <w:t>, </w:t>
      </w:r>
      <w:r w:rsidRPr="001A0C5B">
        <w:rPr>
          <w:i/>
          <w:iCs/>
          <w:sz w:val="24"/>
          <w:szCs w:val="24"/>
        </w:rPr>
        <w:t>39</w:t>
      </w:r>
      <w:r w:rsidRPr="001A0C5B">
        <w:rPr>
          <w:sz w:val="24"/>
          <w:szCs w:val="24"/>
        </w:rPr>
        <w:t>, 1942-1953.</w:t>
      </w:r>
    </w:p>
    <w:p w14:paraId="3C7D2D47" w14:textId="77777777" w:rsidR="001A0C5B" w:rsidRPr="001A0C5B" w:rsidRDefault="001A0C5B" w:rsidP="001A0C5B">
      <w:pPr>
        <w:spacing w:before="120" w:after="120"/>
        <w:ind w:left="851" w:hanging="851"/>
        <w:jc w:val="both"/>
        <w:rPr>
          <w:sz w:val="24"/>
          <w:szCs w:val="24"/>
        </w:rPr>
      </w:pPr>
      <w:r w:rsidRPr="001A0C5B">
        <w:rPr>
          <w:sz w:val="24"/>
          <w:szCs w:val="24"/>
        </w:rPr>
        <w:t xml:space="preserve">Bryant, J., Bolt, R., </w:t>
      </w:r>
      <w:proofErr w:type="spellStart"/>
      <w:r w:rsidRPr="001A0C5B">
        <w:rPr>
          <w:sz w:val="24"/>
          <w:szCs w:val="24"/>
        </w:rPr>
        <w:t>Botfield</w:t>
      </w:r>
      <w:proofErr w:type="spellEnd"/>
      <w:r w:rsidRPr="001A0C5B">
        <w:rPr>
          <w:sz w:val="24"/>
          <w:szCs w:val="24"/>
        </w:rPr>
        <w:t xml:space="preserve">, J. R., Martin, K., Doyle, M., Murphy, D., ... &amp; </w:t>
      </w:r>
      <w:proofErr w:type="spellStart"/>
      <w:r w:rsidRPr="001A0C5B">
        <w:rPr>
          <w:sz w:val="24"/>
          <w:szCs w:val="24"/>
        </w:rPr>
        <w:t>Aggleton</w:t>
      </w:r>
      <w:proofErr w:type="spellEnd"/>
      <w:r w:rsidRPr="001A0C5B">
        <w:rPr>
          <w:sz w:val="24"/>
          <w:szCs w:val="24"/>
        </w:rPr>
        <w:t xml:space="preserve">, P. (2021). Beyond </w:t>
      </w:r>
      <w:proofErr w:type="spellStart"/>
      <w:proofErr w:type="gramStart"/>
      <w:r w:rsidRPr="001A0C5B">
        <w:rPr>
          <w:sz w:val="24"/>
          <w:szCs w:val="24"/>
        </w:rPr>
        <w:t>deficit:‘</w:t>
      </w:r>
      <w:proofErr w:type="gramEnd"/>
      <w:r w:rsidRPr="001A0C5B">
        <w:rPr>
          <w:sz w:val="24"/>
          <w:szCs w:val="24"/>
        </w:rPr>
        <w:t>strengths‐based</w:t>
      </w:r>
      <w:proofErr w:type="spellEnd"/>
      <w:r w:rsidRPr="001A0C5B">
        <w:rPr>
          <w:sz w:val="24"/>
          <w:szCs w:val="24"/>
        </w:rPr>
        <w:t xml:space="preserve"> approaches’ in indigenous health research. </w:t>
      </w:r>
      <w:r w:rsidRPr="001A0C5B">
        <w:rPr>
          <w:i/>
          <w:iCs/>
          <w:sz w:val="24"/>
          <w:szCs w:val="24"/>
        </w:rPr>
        <w:t>Sociology of Health &amp; Illness</w:t>
      </w:r>
      <w:r w:rsidRPr="001A0C5B">
        <w:rPr>
          <w:sz w:val="24"/>
          <w:szCs w:val="24"/>
        </w:rPr>
        <w:t>, </w:t>
      </w:r>
      <w:r w:rsidRPr="001A0C5B">
        <w:rPr>
          <w:i/>
          <w:iCs/>
          <w:sz w:val="24"/>
          <w:szCs w:val="24"/>
        </w:rPr>
        <w:t>43</w:t>
      </w:r>
      <w:r w:rsidRPr="001A0C5B">
        <w:rPr>
          <w:sz w:val="24"/>
          <w:szCs w:val="24"/>
        </w:rPr>
        <w:t>(6), 1405-1421.</w:t>
      </w:r>
    </w:p>
    <w:p w14:paraId="293EDA74" w14:textId="77777777" w:rsidR="001A0C5B" w:rsidRPr="001A0C5B" w:rsidRDefault="001A0C5B" w:rsidP="001A0C5B">
      <w:pPr>
        <w:spacing w:before="120" w:after="120"/>
        <w:ind w:left="851" w:hanging="851"/>
        <w:jc w:val="both"/>
        <w:rPr>
          <w:sz w:val="24"/>
          <w:szCs w:val="24"/>
        </w:rPr>
      </w:pPr>
      <w:r w:rsidRPr="001A0C5B">
        <w:rPr>
          <w:sz w:val="24"/>
          <w:szCs w:val="24"/>
        </w:rPr>
        <w:lastRenderedPageBreak/>
        <w:t>Califf, C. B., Sarker, S., &amp; Sarker, S. (2020). The bright and dark sides of technostress: A mixed-methods study involving healthcare IT. </w:t>
      </w:r>
      <w:r w:rsidRPr="001A0C5B">
        <w:rPr>
          <w:i/>
          <w:iCs/>
          <w:sz w:val="24"/>
          <w:szCs w:val="24"/>
        </w:rPr>
        <w:t>MIS quarterly</w:t>
      </w:r>
      <w:r w:rsidRPr="001A0C5B">
        <w:rPr>
          <w:sz w:val="24"/>
          <w:szCs w:val="24"/>
        </w:rPr>
        <w:t>, </w:t>
      </w:r>
      <w:r w:rsidRPr="001A0C5B">
        <w:rPr>
          <w:i/>
          <w:iCs/>
          <w:sz w:val="24"/>
          <w:szCs w:val="24"/>
        </w:rPr>
        <w:t>44</w:t>
      </w:r>
      <w:r w:rsidRPr="001A0C5B">
        <w:rPr>
          <w:sz w:val="24"/>
          <w:szCs w:val="24"/>
        </w:rPr>
        <w:t>(2).</w:t>
      </w:r>
    </w:p>
    <w:p w14:paraId="6B4F6FED" w14:textId="77777777" w:rsidR="001A0C5B" w:rsidRPr="001A0C5B" w:rsidRDefault="001A0C5B" w:rsidP="001A0C5B">
      <w:pPr>
        <w:spacing w:before="120" w:after="120"/>
        <w:ind w:left="851" w:hanging="851"/>
        <w:jc w:val="both"/>
        <w:rPr>
          <w:sz w:val="24"/>
          <w:szCs w:val="24"/>
        </w:rPr>
      </w:pPr>
      <w:r w:rsidRPr="001A0C5B">
        <w:rPr>
          <w:sz w:val="24"/>
          <w:szCs w:val="24"/>
        </w:rPr>
        <w:t xml:space="preserve">Fayzullayev, B. Z., &amp; Khalid, S. (2023). Navigating The Digital Divide: </w:t>
      </w:r>
      <w:proofErr w:type="spellStart"/>
      <w:r w:rsidRPr="001A0C5B">
        <w:rPr>
          <w:sz w:val="24"/>
          <w:szCs w:val="24"/>
        </w:rPr>
        <w:t>Analysing</w:t>
      </w:r>
      <w:proofErr w:type="spellEnd"/>
      <w:r w:rsidRPr="001A0C5B">
        <w:rPr>
          <w:sz w:val="24"/>
          <w:szCs w:val="24"/>
        </w:rPr>
        <w:t xml:space="preserve"> </w:t>
      </w:r>
      <w:proofErr w:type="gramStart"/>
      <w:r w:rsidRPr="001A0C5B">
        <w:rPr>
          <w:sz w:val="24"/>
          <w:szCs w:val="24"/>
        </w:rPr>
        <w:t>The</w:t>
      </w:r>
      <w:proofErr w:type="gramEnd"/>
      <w:r w:rsidRPr="001A0C5B">
        <w:rPr>
          <w:sz w:val="24"/>
          <w:szCs w:val="24"/>
        </w:rPr>
        <w:t xml:space="preserve"> Impact Of Technology And Connectivity On Modern Trends In International Labor Migration. </w:t>
      </w:r>
      <w:r w:rsidRPr="001A0C5B">
        <w:rPr>
          <w:i/>
          <w:iCs/>
          <w:sz w:val="24"/>
          <w:szCs w:val="24"/>
        </w:rPr>
        <w:t>American Journal of Interdisciplinary Research and Development</w:t>
      </w:r>
      <w:r w:rsidRPr="001A0C5B">
        <w:rPr>
          <w:sz w:val="24"/>
          <w:szCs w:val="24"/>
        </w:rPr>
        <w:t>, </w:t>
      </w:r>
      <w:r w:rsidRPr="001A0C5B">
        <w:rPr>
          <w:i/>
          <w:iCs/>
          <w:sz w:val="24"/>
          <w:szCs w:val="24"/>
        </w:rPr>
        <w:t>20</w:t>
      </w:r>
      <w:r w:rsidRPr="001A0C5B">
        <w:rPr>
          <w:sz w:val="24"/>
          <w:szCs w:val="24"/>
        </w:rPr>
        <w:t>, 80-92.</w:t>
      </w:r>
    </w:p>
    <w:p w14:paraId="6185C47E" w14:textId="77777777" w:rsidR="001A0C5B" w:rsidRPr="001A0C5B" w:rsidRDefault="001A0C5B" w:rsidP="001A0C5B">
      <w:pPr>
        <w:spacing w:before="120" w:after="120"/>
        <w:ind w:left="851" w:hanging="851"/>
        <w:jc w:val="both"/>
        <w:rPr>
          <w:sz w:val="24"/>
          <w:szCs w:val="24"/>
        </w:rPr>
      </w:pPr>
      <w:r w:rsidRPr="001A0C5B">
        <w:rPr>
          <w:sz w:val="24"/>
          <w:szCs w:val="24"/>
        </w:rPr>
        <w:t>Katz, M., &amp; Nandi, N. (2021). Social media and medical education in the context of the COVID-19 pandemic: scoping review. </w:t>
      </w:r>
      <w:r w:rsidRPr="001A0C5B">
        <w:rPr>
          <w:i/>
          <w:iCs/>
          <w:sz w:val="24"/>
          <w:szCs w:val="24"/>
        </w:rPr>
        <w:t>JMIR medical education</w:t>
      </w:r>
      <w:r w:rsidRPr="001A0C5B">
        <w:rPr>
          <w:sz w:val="24"/>
          <w:szCs w:val="24"/>
        </w:rPr>
        <w:t>, </w:t>
      </w:r>
      <w:r w:rsidRPr="001A0C5B">
        <w:rPr>
          <w:i/>
          <w:iCs/>
          <w:sz w:val="24"/>
          <w:szCs w:val="24"/>
        </w:rPr>
        <w:t>7</w:t>
      </w:r>
      <w:r w:rsidRPr="001A0C5B">
        <w:rPr>
          <w:sz w:val="24"/>
          <w:szCs w:val="24"/>
        </w:rPr>
        <w:t>(2), e25892.</w:t>
      </w:r>
    </w:p>
    <w:p w14:paraId="63CFF71A" w14:textId="77777777" w:rsidR="001A0C5B" w:rsidRPr="001A0C5B" w:rsidRDefault="001A0C5B" w:rsidP="001A0C5B">
      <w:pPr>
        <w:spacing w:before="120" w:after="120"/>
        <w:ind w:left="851" w:hanging="851"/>
        <w:jc w:val="both"/>
        <w:rPr>
          <w:sz w:val="24"/>
          <w:szCs w:val="24"/>
        </w:rPr>
      </w:pPr>
      <w:r w:rsidRPr="001A0C5B">
        <w:rPr>
          <w:sz w:val="24"/>
          <w:szCs w:val="24"/>
        </w:rPr>
        <w:t>Kim, E. S., Tkatch, R., Martin, D., MacLeod, S., Sandy, L., &amp; Yeh, C. (2021). Resilient aging: Psychological well-being and social well-being as targets for the promotion of healthy aging. </w:t>
      </w:r>
      <w:r w:rsidRPr="001A0C5B">
        <w:rPr>
          <w:i/>
          <w:iCs/>
          <w:sz w:val="24"/>
          <w:szCs w:val="24"/>
        </w:rPr>
        <w:t>Gerontology and geriatric medicine</w:t>
      </w:r>
      <w:r w:rsidRPr="001A0C5B">
        <w:rPr>
          <w:sz w:val="24"/>
          <w:szCs w:val="24"/>
        </w:rPr>
        <w:t>, </w:t>
      </w:r>
      <w:r w:rsidRPr="001A0C5B">
        <w:rPr>
          <w:i/>
          <w:iCs/>
          <w:sz w:val="24"/>
          <w:szCs w:val="24"/>
        </w:rPr>
        <w:t>7</w:t>
      </w:r>
      <w:r w:rsidRPr="001A0C5B">
        <w:rPr>
          <w:sz w:val="24"/>
          <w:szCs w:val="24"/>
        </w:rPr>
        <w:t>, 23337214211002951.</w:t>
      </w:r>
    </w:p>
    <w:p w14:paraId="3C479EC6" w14:textId="77777777" w:rsidR="001A0C5B" w:rsidRPr="001A0C5B" w:rsidRDefault="001A0C5B" w:rsidP="001A0C5B">
      <w:pPr>
        <w:spacing w:before="120" w:after="120"/>
        <w:ind w:left="851" w:hanging="851"/>
        <w:jc w:val="both"/>
        <w:rPr>
          <w:sz w:val="24"/>
          <w:szCs w:val="24"/>
        </w:rPr>
      </w:pPr>
      <w:proofErr w:type="spellStart"/>
      <w:r w:rsidRPr="001A0C5B">
        <w:rPr>
          <w:sz w:val="24"/>
          <w:szCs w:val="24"/>
        </w:rPr>
        <w:t>Nomaguchi</w:t>
      </w:r>
      <w:proofErr w:type="spellEnd"/>
      <w:r w:rsidRPr="001A0C5B">
        <w:rPr>
          <w:sz w:val="24"/>
          <w:szCs w:val="24"/>
        </w:rPr>
        <w:t>, K., &amp; Milkie, M. A. (2020). Parenthood and well‐being: A decade in review. </w:t>
      </w:r>
      <w:r w:rsidRPr="001A0C5B">
        <w:rPr>
          <w:i/>
          <w:iCs/>
          <w:sz w:val="24"/>
          <w:szCs w:val="24"/>
        </w:rPr>
        <w:t>Journal of Marriage and Family</w:t>
      </w:r>
      <w:r w:rsidRPr="001A0C5B">
        <w:rPr>
          <w:sz w:val="24"/>
          <w:szCs w:val="24"/>
        </w:rPr>
        <w:t>, </w:t>
      </w:r>
      <w:r w:rsidRPr="001A0C5B">
        <w:rPr>
          <w:i/>
          <w:iCs/>
          <w:sz w:val="24"/>
          <w:szCs w:val="24"/>
        </w:rPr>
        <w:t>82</w:t>
      </w:r>
      <w:r w:rsidRPr="001A0C5B">
        <w:rPr>
          <w:sz w:val="24"/>
          <w:szCs w:val="24"/>
        </w:rPr>
        <w:t>(1), 198-223.</w:t>
      </w:r>
    </w:p>
    <w:p w14:paraId="22A2F536" w14:textId="77777777" w:rsidR="001A0C5B" w:rsidRPr="001A0C5B" w:rsidRDefault="001A0C5B" w:rsidP="001A0C5B">
      <w:pPr>
        <w:spacing w:before="120" w:after="120"/>
        <w:ind w:left="851" w:hanging="851"/>
        <w:jc w:val="both"/>
        <w:rPr>
          <w:sz w:val="24"/>
          <w:szCs w:val="24"/>
        </w:rPr>
      </w:pPr>
      <w:proofErr w:type="spellStart"/>
      <w:r w:rsidRPr="001A0C5B">
        <w:rPr>
          <w:sz w:val="24"/>
          <w:szCs w:val="24"/>
        </w:rPr>
        <w:t>Öniş</w:t>
      </w:r>
      <w:proofErr w:type="spellEnd"/>
      <w:r w:rsidRPr="001A0C5B">
        <w:rPr>
          <w:sz w:val="24"/>
          <w:szCs w:val="24"/>
        </w:rPr>
        <w:t>, Z., &amp; Kutlay, M. (2020). The new age of hybridity and clash of norms: China, BRICS, and challenges of global governance in a postliberal international order. </w:t>
      </w:r>
      <w:r w:rsidRPr="001A0C5B">
        <w:rPr>
          <w:i/>
          <w:iCs/>
          <w:sz w:val="24"/>
          <w:szCs w:val="24"/>
        </w:rPr>
        <w:t>Alternatives</w:t>
      </w:r>
      <w:r w:rsidRPr="001A0C5B">
        <w:rPr>
          <w:sz w:val="24"/>
          <w:szCs w:val="24"/>
        </w:rPr>
        <w:t>, </w:t>
      </w:r>
      <w:r w:rsidRPr="001A0C5B">
        <w:rPr>
          <w:i/>
          <w:iCs/>
          <w:sz w:val="24"/>
          <w:szCs w:val="24"/>
        </w:rPr>
        <w:t>45</w:t>
      </w:r>
      <w:r w:rsidRPr="001A0C5B">
        <w:rPr>
          <w:sz w:val="24"/>
          <w:szCs w:val="24"/>
        </w:rPr>
        <w:t>(3), 123-142.</w:t>
      </w:r>
    </w:p>
    <w:p w14:paraId="60A5E5F1" w14:textId="77777777" w:rsidR="001A0C5B" w:rsidRPr="001A0C5B" w:rsidRDefault="001A0C5B" w:rsidP="001A0C5B">
      <w:pPr>
        <w:spacing w:before="120" w:after="120"/>
        <w:ind w:left="851" w:hanging="851"/>
        <w:jc w:val="both"/>
        <w:rPr>
          <w:sz w:val="24"/>
          <w:szCs w:val="24"/>
        </w:rPr>
      </w:pPr>
      <w:r w:rsidRPr="001A0C5B">
        <w:rPr>
          <w:sz w:val="24"/>
          <w:szCs w:val="24"/>
        </w:rPr>
        <w:t xml:space="preserve">Tandon, A., </w:t>
      </w:r>
      <w:proofErr w:type="spellStart"/>
      <w:r w:rsidRPr="001A0C5B">
        <w:rPr>
          <w:sz w:val="24"/>
          <w:szCs w:val="24"/>
        </w:rPr>
        <w:t>Rajavaram</w:t>
      </w:r>
      <w:proofErr w:type="spellEnd"/>
      <w:r w:rsidRPr="001A0C5B">
        <w:rPr>
          <w:sz w:val="24"/>
          <w:szCs w:val="24"/>
        </w:rPr>
        <w:t>, S., &amp; Avula, Y. (2023, December). Unveiling Emotions in Virtual Reality: Exploring Personal Narratives of US Veterans on VR Chat. In </w:t>
      </w:r>
      <w:r w:rsidRPr="001A0C5B">
        <w:rPr>
          <w:i/>
          <w:iCs/>
          <w:sz w:val="24"/>
          <w:szCs w:val="24"/>
        </w:rPr>
        <w:t>International Working Conference on Transfer and Diffusion of IT</w:t>
      </w:r>
      <w:r w:rsidRPr="001A0C5B">
        <w:rPr>
          <w:sz w:val="24"/>
          <w:szCs w:val="24"/>
        </w:rPr>
        <w:t> (pp. 68-80). Cham: Springer Nature Switzerland.</w:t>
      </w:r>
    </w:p>
    <w:p w14:paraId="577339C6" w14:textId="77777777" w:rsidR="001A0C5B" w:rsidRPr="001A0C5B" w:rsidRDefault="001A0C5B" w:rsidP="001A0C5B">
      <w:pPr>
        <w:spacing w:before="120" w:after="120"/>
        <w:ind w:left="851" w:hanging="851"/>
        <w:jc w:val="both"/>
        <w:rPr>
          <w:sz w:val="24"/>
          <w:szCs w:val="24"/>
        </w:rPr>
      </w:pPr>
      <w:proofErr w:type="spellStart"/>
      <w:r w:rsidRPr="001A0C5B">
        <w:rPr>
          <w:sz w:val="24"/>
          <w:szCs w:val="24"/>
        </w:rPr>
        <w:t>Ünlüsoy</w:t>
      </w:r>
      <w:proofErr w:type="spellEnd"/>
      <w:r w:rsidRPr="001A0C5B">
        <w:rPr>
          <w:sz w:val="24"/>
          <w:szCs w:val="24"/>
        </w:rPr>
        <w:t>, A., Leander, K. M., &amp; de Haan, M. (2022). Rethinking sociocultural notions of learning in the digital era: Understanding the affordances of networked platforms. </w:t>
      </w:r>
      <w:r w:rsidRPr="001A0C5B">
        <w:rPr>
          <w:i/>
          <w:iCs/>
          <w:sz w:val="24"/>
          <w:szCs w:val="24"/>
        </w:rPr>
        <w:t>E-Learning and Digital Media</w:t>
      </w:r>
      <w:r w:rsidRPr="001A0C5B">
        <w:rPr>
          <w:sz w:val="24"/>
          <w:szCs w:val="24"/>
        </w:rPr>
        <w:t>, </w:t>
      </w:r>
      <w:r w:rsidRPr="001A0C5B">
        <w:rPr>
          <w:i/>
          <w:iCs/>
          <w:sz w:val="24"/>
          <w:szCs w:val="24"/>
        </w:rPr>
        <w:t>19</w:t>
      </w:r>
      <w:r w:rsidRPr="001A0C5B">
        <w:rPr>
          <w:sz w:val="24"/>
          <w:szCs w:val="24"/>
        </w:rPr>
        <w:t>(1), 78-92.</w:t>
      </w:r>
    </w:p>
    <w:p w14:paraId="0BFE51FE" w14:textId="752499D3" w:rsidR="00435313" w:rsidRDefault="00000000">
      <w:pPr>
        <w:spacing w:before="120" w:after="120"/>
        <w:ind w:left="851" w:hanging="851"/>
        <w:jc w:val="both"/>
        <w:rPr>
          <w:sz w:val="24"/>
          <w:szCs w:val="24"/>
        </w:rPr>
      </w:pPr>
      <w:r>
        <w:rPr>
          <w:sz w:val="24"/>
          <w:szCs w:val="24"/>
        </w:rPr>
        <w:t xml:space="preserve"> </w:t>
      </w:r>
    </w:p>
    <w:p w14:paraId="369C3B77" w14:textId="77777777" w:rsidR="00435313" w:rsidRDefault="00435313">
      <w:pPr>
        <w:spacing w:before="120" w:after="120"/>
        <w:ind w:left="851" w:hanging="851"/>
        <w:jc w:val="both"/>
        <w:rPr>
          <w:color w:val="222222"/>
          <w:sz w:val="24"/>
          <w:szCs w:val="24"/>
          <w:highlight w:val="white"/>
        </w:rPr>
      </w:pPr>
    </w:p>
    <w:p w14:paraId="22A214EE" w14:textId="77777777" w:rsidR="00435313" w:rsidRDefault="00435313">
      <w:pPr>
        <w:tabs>
          <w:tab w:val="left" w:pos="6882"/>
        </w:tabs>
        <w:rPr>
          <w:sz w:val="24"/>
          <w:szCs w:val="24"/>
        </w:rPr>
      </w:pPr>
    </w:p>
    <w:sectPr w:rsidR="00435313" w:rsidSect="00D8574B">
      <w:type w:val="continuous"/>
      <w:pgSz w:w="11906" w:h="16838"/>
      <w:pgMar w:top="1440" w:right="1440" w:bottom="1440" w:left="1440" w:header="708" w:footer="708"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3E6B5" w14:textId="77777777" w:rsidR="00B6247D" w:rsidRDefault="00B6247D">
      <w:r>
        <w:separator/>
      </w:r>
    </w:p>
  </w:endnote>
  <w:endnote w:type="continuationSeparator" w:id="0">
    <w:p w14:paraId="74EE7632" w14:textId="77777777" w:rsidR="00B6247D" w:rsidRDefault="00B6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4CF7" w14:textId="77777777" w:rsidR="00435313" w:rsidRDefault="0043531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210A" w14:textId="77777777" w:rsidR="00435313"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1A0C5B">
      <w:rPr>
        <w:noProof/>
        <w:color w:val="000000"/>
      </w:rPr>
      <w:t>1</w:t>
    </w:r>
    <w:r>
      <w:rPr>
        <w:color w:val="000000"/>
      </w:rPr>
      <w:fldChar w:fldCharType="end"/>
    </w:r>
  </w:p>
  <w:p w14:paraId="313777D1" w14:textId="1951D960" w:rsidR="00435313" w:rsidRDefault="00000000">
    <w:pPr>
      <w:pBdr>
        <w:top w:val="nil"/>
        <w:left w:val="nil"/>
        <w:bottom w:val="nil"/>
        <w:right w:val="nil"/>
        <w:between w:val="nil"/>
      </w:pBdr>
      <w:tabs>
        <w:tab w:val="center" w:pos="4680"/>
        <w:tab w:val="right" w:pos="9360"/>
      </w:tabs>
      <w:rPr>
        <w:color w:val="ED7D31"/>
      </w:rPr>
    </w:pPr>
    <w:r>
      <w:rPr>
        <w:i/>
        <w:color w:val="ED7D31"/>
        <w:sz w:val="24"/>
        <w:szCs w:val="24"/>
      </w:rPr>
      <w:t>Copyright © 202</w:t>
    </w:r>
    <w:r w:rsidR="00DD3F9B">
      <w:rPr>
        <w:i/>
        <w:color w:val="ED7D31"/>
        <w:sz w:val="24"/>
        <w:szCs w:val="24"/>
      </w:rPr>
      <w:t>3</w:t>
    </w:r>
    <w:r>
      <w:rPr>
        <w:i/>
        <w:color w:val="ED7D31"/>
        <w:sz w:val="24"/>
        <w:szCs w:val="24"/>
      </w:rPr>
      <w:t>, Interdisciplinary Journal Papier Human Review, Under the license CC BY-SA 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F5AF" w14:textId="77777777" w:rsidR="00435313" w:rsidRDefault="0043531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7718" w14:textId="77777777" w:rsidR="00B6247D" w:rsidRDefault="00B6247D">
      <w:r>
        <w:separator/>
      </w:r>
    </w:p>
  </w:footnote>
  <w:footnote w:type="continuationSeparator" w:id="0">
    <w:p w14:paraId="19A4839A" w14:textId="77777777" w:rsidR="00B6247D" w:rsidRDefault="00B62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3983" w14:textId="77777777" w:rsidR="00435313" w:rsidRDefault="0043531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AA2A" w14:textId="52412E22" w:rsidR="00435313" w:rsidRDefault="00000000">
    <w:pPr>
      <w:pBdr>
        <w:top w:val="nil"/>
        <w:left w:val="nil"/>
        <w:bottom w:val="nil"/>
        <w:right w:val="nil"/>
        <w:between w:val="nil"/>
      </w:pBdr>
      <w:tabs>
        <w:tab w:val="center" w:pos="4680"/>
        <w:tab w:val="right" w:pos="9360"/>
        <w:tab w:val="center" w:pos="6379"/>
        <w:tab w:val="left" w:pos="7088"/>
      </w:tabs>
      <w:rPr>
        <w:i/>
        <w:color w:val="000000"/>
      </w:rPr>
    </w:pPr>
    <w:r>
      <w:rPr>
        <w:color w:val="000000"/>
        <w:sz w:val="24"/>
        <w:szCs w:val="24"/>
      </w:rPr>
      <w:t xml:space="preserve">Interdisciplinary Journal Papier </w:t>
    </w:r>
    <w:r>
      <w:rPr>
        <w:color w:val="000000"/>
      </w:rPr>
      <w:tab/>
    </w:r>
    <w:r>
      <w:rPr>
        <w:color w:val="000000"/>
      </w:rPr>
      <w:tab/>
    </w:r>
    <w:r>
      <w:rPr>
        <w:i/>
        <w:color w:val="000000"/>
      </w:rPr>
      <w:t xml:space="preserve">Volume </w:t>
    </w:r>
    <w:r w:rsidR="00887C0E">
      <w:rPr>
        <w:i/>
        <w:color w:val="000000"/>
      </w:rPr>
      <w:t>4</w:t>
    </w:r>
    <w:r>
      <w:rPr>
        <w:i/>
        <w:color w:val="000000"/>
      </w:rPr>
      <w:t>, Issue 2, 202</w:t>
    </w:r>
    <w:r w:rsidR="00887C0E">
      <w:rPr>
        <w:i/>
        <w:color w:val="000000"/>
      </w:rPr>
      <w:t>3</w:t>
    </w:r>
    <w:r>
      <w:rPr>
        <w:color w:val="000000"/>
      </w:rPr>
      <w:br/>
    </w:r>
    <w:r>
      <w:rPr>
        <w:color w:val="000000"/>
        <w:sz w:val="24"/>
        <w:szCs w:val="24"/>
      </w:rPr>
      <w:t>Human Review</w:t>
    </w:r>
    <w:r>
      <w:rPr>
        <w:color w:val="000000"/>
      </w:rPr>
      <w:tab/>
    </w:r>
    <w:r>
      <w:rPr>
        <w:color w:val="000000"/>
      </w:rPr>
      <w:tab/>
      <w:t xml:space="preserve"> </w:t>
    </w:r>
    <w:r>
      <w:rPr>
        <w:i/>
        <w:color w:val="000000"/>
      </w:rPr>
      <w:t xml:space="preserve">(Page </w:t>
    </w:r>
    <w:r w:rsidR="00D8574B">
      <w:rPr>
        <w:i/>
        <w:color w:val="000000"/>
      </w:rPr>
      <w:t>14</w:t>
    </w:r>
    <w:r>
      <w:rPr>
        <w:i/>
        <w:color w:val="000000"/>
      </w:rPr>
      <w:t>-</w:t>
    </w:r>
    <w:r w:rsidR="00D8574B">
      <w:rPr>
        <w:i/>
        <w:color w:val="000000"/>
      </w:rPr>
      <w:t>19</w:t>
    </w:r>
    <w:r>
      <w:rPr>
        <w:i/>
        <w:color w:val="000000"/>
      </w:rPr>
      <w:t>)</w:t>
    </w:r>
  </w:p>
  <w:p w14:paraId="65E7DE8E" w14:textId="039F2C16" w:rsidR="00435313" w:rsidRDefault="00000000">
    <w:pPr>
      <w:pBdr>
        <w:top w:val="nil"/>
        <w:left w:val="nil"/>
        <w:bottom w:val="nil"/>
        <w:right w:val="nil"/>
        <w:between w:val="nil"/>
      </w:pBdr>
      <w:tabs>
        <w:tab w:val="center" w:pos="4680"/>
        <w:tab w:val="right" w:pos="9360"/>
        <w:tab w:val="left" w:pos="5387"/>
        <w:tab w:val="center" w:pos="6379"/>
        <w:tab w:val="left" w:pos="7088"/>
      </w:tabs>
      <w:spacing w:after="120"/>
      <w:rPr>
        <w:i/>
        <w:color w:val="000000"/>
        <w:sz w:val="16"/>
        <w:szCs w:val="16"/>
      </w:rPr>
    </w:pPr>
    <w:r>
      <w:rPr>
        <w:color w:val="000000"/>
      </w:rPr>
      <w:t>ISSN: 2709-</w:t>
    </w:r>
    <w:proofErr w:type="gramStart"/>
    <w:r>
      <w:rPr>
        <w:color w:val="000000"/>
      </w:rPr>
      <w:t>1295</w:t>
    </w:r>
    <w:r>
      <w:rPr>
        <w:i/>
        <w:color w:val="000000"/>
      </w:rPr>
      <w:t xml:space="preserve">  </w:t>
    </w:r>
    <w:r>
      <w:rPr>
        <w:i/>
        <w:color w:val="000000"/>
      </w:rPr>
      <w:tab/>
    </w:r>
    <w:proofErr w:type="gramEnd"/>
    <w:r>
      <w:rPr>
        <w:i/>
        <w:color w:val="000000"/>
      </w:rPr>
      <w:tab/>
      <w:t xml:space="preserve">DOI: </w:t>
    </w:r>
    <w:r>
      <w:rPr>
        <w:i/>
        <w:color w:val="0563C1"/>
        <w:u w:val="single"/>
      </w:rPr>
      <w:t>https://doi.org/10.47667/ijphr.v</w:t>
    </w:r>
    <w:r w:rsidR="00DD3F9B">
      <w:rPr>
        <w:i/>
        <w:color w:val="0563C1"/>
        <w:u w:val="single"/>
      </w:rPr>
      <w:t>4</w:t>
    </w:r>
    <w:r>
      <w:rPr>
        <w:i/>
        <w:color w:val="0563C1"/>
        <w:u w:val="single"/>
      </w:rPr>
      <w:t>i2.</w:t>
    </w:r>
    <w:r w:rsidR="00DD3F9B">
      <w:rPr>
        <w:i/>
        <w:color w:val="0563C1"/>
        <w:u w:val="single"/>
      </w:rPr>
      <w:t>272</w:t>
    </w:r>
    <w:r>
      <w:rPr>
        <w:i/>
        <w:color w:val="000000"/>
      </w:rPr>
      <w:t xml:space="preserve"> </w:t>
    </w:r>
    <w:r>
      <w:rPr>
        <w:noProof/>
      </w:rPr>
      <mc:AlternateContent>
        <mc:Choice Requires="wps">
          <w:drawing>
            <wp:anchor distT="0" distB="0" distL="114300" distR="114300" simplePos="0" relativeHeight="251658240" behindDoc="0" locked="0" layoutInCell="1" hidden="0" allowOverlap="1" wp14:anchorId="0EEC12FD" wp14:editId="11A11C73">
              <wp:simplePos x="0" y="0"/>
              <wp:positionH relativeFrom="column">
                <wp:posOffset>12701</wp:posOffset>
              </wp:positionH>
              <wp:positionV relativeFrom="paragraph">
                <wp:posOffset>165100</wp:posOffset>
              </wp:positionV>
              <wp:extent cx="57150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488500" y="3780000"/>
                        <a:ext cx="5715000" cy="0"/>
                      </a:xfrm>
                      <a:prstGeom prst="straightConnector1">
                        <a:avLst/>
                      </a:prstGeom>
                      <a:noFill/>
                      <a:ln w="19050" cap="flat" cmpd="sng">
                        <a:solidFill>
                          <a:schemeClr val="accent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165100</wp:posOffset>
              </wp:positionV>
              <wp:extent cx="5715000" cy="1905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715000" cy="1905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6CCD2584" wp14:editId="15252C92">
              <wp:simplePos x="0" y="0"/>
              <wp:positionH relativeFrom="column">
                <wp:posOffset>12701</wp:posOffset>
              </wp:positionH>
              <wp:positionV relativeFrom="paragraph">
                <wp:posOffset>203200</wp:posOffset>
              </wp:positionV>
              <wp:extent cx="5715000" cy="19050"/>
              <wp:effectExtent l="0" t="0" r="0" b="0"/>
              <wp:wrapNone/>
              <wp:docPr id="4" name="Straight Arrow Connector 4"/>
              <wp:cNvGraphicFramePr/>
              <a:graphic xmlns:a="http://schemas.openxmlformats.org/drawingml/2006/main">
                <a:graphicData uri="http://schemas.microsoft.com/office/word/2010/wordprocessingShape">
                  <wps:wsp>
                    <wps:cNvCnPr/>
                    <wps:spPr>
                      <a:xfrm>
                        <a:off x="2488500" y="3780000"/>
                        <a:ext cx="5715000" cy="0"/>
                      </a:xfrm>
                      <a:prstGeom prst="straightConnector1">
                        <a:avLst/>
                      </a:prstGeom>
                      <a:noFill/>
                      <a:ln w="19050" cap="flat" cmpd="sng">
                        <a:solidFill>
                          <a:schemeClr val="accent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203200</wp:posOffset>
              </wp:positionV>
              <wp:extent cx="5715000" cy="19050"/>
              <wp:effectExtent b="0" l="0" r="0" t="0"/>
              <wp:wrapNone/>
              <wp:docPr id="4"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5715000" cy="1905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D839" w14:textId="77777777" w:rsidR="00435313" w:rsidRDefault="00435313">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13"/>
    <w:rsid w:val="001A0C5B"/>
    <w:rsid w:val="00435313"/>
    <w:rsid w:val="00887C0E"/>
    <w:rsid w:val="00940306"/>
    <w:rsid w:val="009A0F9B"/>
    <w:rsid w:val="00B6247D"/>
    <w:rsid w:val="00D8574B"/>
    <w:rsid w:val="00DD3F9B"/>
    <w:rsid w:val="00FD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AFFF"/>
  <w15:docId w15:val="{8D04BEE1-3D3A-4E37-894B-4DDA8CD4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40" w:line="259" w:lineRule="auto"/>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1A0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fIr9LfYEVJ9EhlzsA3PVnKbZEg==">CgMxLjAyCGguZ2pkZ3hzOAByITFOY044QU1kSVFGampQYkotc2Z3dkhVdGpzR05xZnBWTA==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2948</Words>
  <Characters>16810</Characters>
  <Application>Microsoft Office Word</Application>
  <DocSecurity>0</DocSecurity>
  <Lines>140</Lines>
  <Paragraphs>39</Paragraphs>
  <ScaleCrop>false</ScaleCrop>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2024-01-12T08:10:00Z</dcterms:created>
  <dcterms:modified xsi:type="dcterms:W3CDTF">2024-01-12T08:10:00Z</dcterms:modified>
</cp:coreProperties>
</file>